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部门整体支出绩效评价自评报告</w:t>
      </w:r>
    </w:p>
    <w:p>
      <w:pPr>
        <w:tabs>
          <w:tab w:val="left" w:pos="6480"/>
        </w:tabs>
        <w:spacing w:line="6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湘潭生物机电学校202</w:t>
      </w:r>
      <w:r>
        <w:rPr>
          <w:rFonts w:hint="eastAsia" w:ascii="方正小标宋_GBK" w:hAnsi="方正小标宋_GBK" w:eastAsia="方正小标宋_GBK" w:cs="方正小标宋_GBK"/>
          <w:sz w:val="36"/>
          <w:szCs w:val="36"/>
          <w:lang w:val="en-US" w:eastAsia="zh-CN"/>
        </w:rPr>
        <w:t>3</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bCs/>
          <w:sz w:val="36"/>
          <w:szCs w:val="36"/>
        </w:rPr>
        <w:t>部门整体支出绩效评价报告</w:t>
      </w:r>
    </w:p>
    <w:tbl>
      <w:tblPr>
        <w:tblStyle w:val="7"/>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56"/>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384" w:type="dxa"/>
            <w:vMerge w:val="restart"/>
            <w:vAlign w:val="center"/>
          </w:tcPr>
          <w:p>
            <w:pPr>
              <w:spacing w:line="576" w:lineRule="exact"/>
              <w:jc w:val="center"/>
              <w:rPr>
                <w:rFonts w:ascii="宋体" w:cs="宋体"/>
                <w:szCs w:val="21"/>
              </w:rPr>
            </w:pPr>
            <w:r>
              <w:rPr>
                <w:rFonts w:hint="eastAsia" w:ascii="宋体" w:hAnsi="宋体" w:cs="宋体"/>
                <w:szCs w:val="21"/>
              </w:rPr>
              <w:t>部门概况</w:t>
            </w:r>
          </w:p>
        </w:tc>
        <w:tc>
          <w:tcPr>
            <w:tcW w:w="1656" w:type="dxa"/>
            <w:vAlign w:val="center"/>
          </w:tcPr>
          <w:p>
            <w:pPr>
              <w:spacing w:line="576" w:lineRule="exact"/>
              <w:jc w:val="center"/>
              <w:rPr>
                <w:rFonts w:ascii="宋体" w:cs="宋体"/>
                <w:szCs w:val="21"/>
              </w:rPr>
            </w:pPr>
            <w:r>
              <w:rPr>
                <w:rFonts w:hint="eastAsia" w:ascii="宋体" w:hAnsi="宋体" w:cs="宋体"/>
                <w:szCs w:val="21"/>
              </w:rPr>
              <w:t>单位名称</w:t>
            </w:r>
          </w:p>
        </w:tc>
        <w:tc>
          <w:tcPr>
            <w:tcW w:w="5999" w:type="dxa"/>
            <w:vAlign w:val="center"/>
          </w:tcPr>
          <w:p>
            <w:pPr>
              <w:spacing w:line="576" w:lineRule="exact"/>
              <w:jc w:val="center"/>
              <w:rPr>
                <w:rFonts w:ascii="仿宋" w:hAnsi="仿宋" w:eastAsia="仿宋" w:cs="方正小标宋简体"/>
                <w:sz w:val="24"/>
              </w:rPr>
            </w:pPr>
            <w:r>
              <w:rPr>
                <w:rFonts w:hint="eastAsia" w:ascii="仿宋" w:hAnsi="仿宋" w:eastAsia="仿宋" w:cs="方正小标宋简体"/>
                <w:sz w:val="24"/>
              </w:rPr>
              <w:t>湘潭生物机电学校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年度预算金额</w:t>
            </w:r>
          </w:p>
        </w:tc>
        <w:tc>
          <w:tcPr>
            <w:tcW w:w="5999" w:type="dxa"/>
            <w:vAlign w:val="center"/>
          </w:tcPr>
          <w:p>
            <w:pPr>
              <w:spacing w:line="576" w:lineRule="exact"/>
              <w:jc w:val="center"/>
              <w:rPr>
                <w:rFonts w:ascii="仿宋" w:hAnsi="仿宋" w:eastAsia="仿宋" w:cs="方正小标宋简体"/>
                <w:sz w:val="24"/>
              </w:rPr>
            </w:pPr>
            <w:r>
              <w:rPr>
                <w:rFonts w:hint="eastAsia" w:ascii="仿宋" w:hAnsi="仿宋" w:eastAsia="仿宋" w:cs="方正小标宋简体"/>
                <w:sz w:val="24"/>
                <w:lang w:val="en-US" w:eastAsia="zh-CN"/>
              </w:rPr>
              <w:t>4197.87</w:t>
            </w:r>
            <w:r>
              <w:rPr>
                <w:rFonts w:hint="eastAsia" w:ascii="仿宋" w:hAnsi="仿宋" w:eastAsia="仿宋" w:cs="方正小标宋简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主管部门</w:t>
            </w:r>
          </w:p>
        </w:tc>
        <w:tc>
          <w:tcPr>
            <w:tcW w:w="5999" w:type="dxa"/>
            <w:vAlign w:val="center"/>
          </w:tcPr>
          <w:p>
            <w:pPr>
              <w:spacing w:line="576" w:lineRule="exact"/>
              <w:jc w:val="center"/>
              <w:rPr>
                <w:rFonts w:ascii="仿宋" w:hAnsi="仿宋" w:eastAsia="仿宋" w:cs="方正小标宋简体"/>
                <w:sz w:val="24"/>
              </w:rPr>
            </w:pPr>
            <w:r>
              <w:rPr>
                <w:rFonts w:hint="eastAsia" w:ascii="仿宋" w:hAnsi="仿宋" w:eastAsia="仿宋" w:cs="方正小标宋简体"/>
                <w:sz w:val="24"/>
              </w:rPr>
              <w:t>湘潭市教育局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6"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单位基本职能</w:t>
            </w:r>
          </w:p>
        </w:tc>
        <w:tc>
          <w:tcPr>
            <w:tcW w:w="5999" w:type="dxa"/>
            <w:vAlign w:val="center"/>
          </w:tcPr>
          <w:p>
            <w:pPr>
              <w:spacing w:line="360" w:lineRule="exact"/>
              <w:jc w:val="left"/>
              <w:rPr>
                <w:rFonts w:ascii="仿宋" w:hAnsi="仿宋" w:eastAsia="仿宋" w:cs="方正小标宋简体"/>
                <w:sz w:val="24"/>
              </w:rPr>
            </w:pPr>
            <w:r>
              <w:rPr>
                <w:rFonts w:hint="eastAsia" w:ascii="仿宋" w:hAnsi="仿宋" w:eastAsia="仿宋" w:cs="方正小标宋简体"/>
                <w:sz w:val="24"/>
              </w:rPr>
              <w:t>湘潭生物机电学校是国家中等职业教育改革发展示范学校。</w:t>
            </w:r>
          </w:p>
          <w:p>
            <w:pPr>
              <w:spacing w:line="360" w:lineRule="exact"/>
              <w:jc w:val="left"/>
              <w:rPr>
                <w:rFonts w:ascii="仿宋" w:hAnsi="仿宋" w:eastAsia="仿宋" w:cs="方正小标宋简体"/>
                <w:sz w:val="24"/>
              </w:rPr>
            </w:pPr>
            <w:r>
              <w:rPr>
                <w:rFonts w:hint="eastAsia" w:ascii="仿宋" w:hAnsi="仿宋" w:eastAsia="仿宋" w:cs="方正小标宋简体"/>
                <w:sz w:val="24"/>
              </w:rPr>
              <w:t>1.贯彻落实党的职业教育方针和国家的职业教育法律法规。</w:t>
            </w:r>
          </w:p>
          <w:p>
            <w:pPr>
              <w:spacing w:line="360" w:lineRule="exact"/>
              <w:jc w:val="left"/>
              <w:rPr>
                <w:rFonts w:ascii="仿宋" w:hAnsi="仿宋" w:eastAsia="仿宋" w:cs="方正小标宋简体"/>
                <w:sz w:val="24"/>
              </w:rPr>
            </w:pPr>
            <w:r>
              <w:rPr>
                <w:rFonts w:hint="eastAsia" w:ascii="仿宋" w:hAnsi="仿宋" w:eastAsia="仿宋" w:cs="方正小标宋简体"/>
                <w:sz w:val="24"/>
              </w:rPr>
              <w:t>2.负责对按照有关部门职业教育招生规定录取的学生，进行思想政治教育和职业道德教育，传授职业知识，培养职业技能，进行职业指导，全面提高学生的素质。</w:t>
            </w:r>
          </w:p>
          <w:p>
            <w:pPr>
              <w:spacing w:line="360" w:lineRule="exact"/>
              <w:jc w:val="left"/>
              <w:rPr>
                <w:rFonts w:ascii="仿宋" w:hAnsi="仿宋" w:eastAsia="仿宋" w:cs="方正小标宋简体"/>
                <w:sz w:val="24"/>
              </w:rPr>
            </w:pPr>
            <w:r>
              <w:rPr>
                <w:rFonts w:hint="eastAsia" w:ascii="仿宋" w:hAnsi="仿宋" w:eastAsia="仿宋" w:cs="方正小标宋简体"/>
                <w:sz w:val="24"/>
              </w:rPr>
              <w:t>3.受有关部门的委托，承担有关培训任务。</w:t>
            </w:r>
          </w:p>
          <w:p>
            <w:pPr>
              <w:spacing w:line="360" w:lineRule="exact"/>
              <w:jc w:val="left"/>
              <w:rPr>
                <w:rFonts w:ascii="仿宋" w:hAnsi="仿宋" w:eastAsia="仿宋" w:cs="方正小标宋简体"/>
                <w:szCs w:val="21"/>
              </w:rPr>
            </w:pPr>
            <w:r>
              <w:rPr>
                <w:rFonts w:hint="eastAsia" w:ascii="仿宋" w:hAnsi="仿宋" w:eastAsia="仿宋" w:cs="方正小标宋简体"/>
                <w:sz w:val="24"/>
              </w:rPr>
              <w:t>4.承担教育行政主管部门交办的其他事项。</w:t>
            </w:r>
            <w:r>
              <w:rPr>
                <w:rFonts w:ascii="仿宋" w:hAnsi="仿宋" w:eastAsia="仿宋" w:cs="方正小标宋简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7" w:hRule="atLeast"/>
          <w:jc w:val="center"/>
        </w:trPr>
        <w:tc>
          <w:tcPr>
            <w:tcW w:w="1384" w:type="dxa"/>
            <w:vMerge w:val="restart"/>
            <w:vAlign w:val="center"/>
          </w:tcPr>
          <w:p>
            <w:pPr>
              <w:spacing w:line="576" w:lineRule="exact"/>
              <w:jc w:val="center"/>
              <w:rPr>
                <w:rFonts w:ascii="宋体" w:cs="宋体"/>
                <w:szCs w:val="21"/>
              </w:rPr>
            </w:pPr>
            <w:r>
              <w:rPr>
                <w:rFonts w:hint="eastAsia" w:ascii="宋体" w:hAnsi="宋体" w:cs="宋体"/>
                <w:szCs w:val="21"/>
              </w:rPr>
              <w:t>绩效完成情况</w:t>
            </w:r>
          </w:p>
        </w:tc>
        <w:tc>
          <w:tcPr>
            <w:tcW w:w="1656" w:type="dxa"/>
            <w:vAlign w:val="center"/>
          </w:tcPr>
          <w:p>
            <w:pPr>
              <w:spacing w:line="576" w:lineRule="exact"/>
              <w:jc w:val="center"/>
              <w:rPr>
                <w:rFonts w:ascii="宋体" w:cs="宋体"/>
                <w:szCs w:val="21"/>
              </w:rPr>
            </w:pPr>
            <w:r>
              <w:rPr>
                <w:rFonts w:hint="eastAsia" w:ascii="宋体" w:hAnsi="宋体" w:cs="宋体"/>
                <w:szCs w:val="21"/>
              </w:rPr>
              <w:t>部门整体支出管理和使用基本情况</w:t>
            </w:r>
          </w:p>
        </w:tc>
        <w:tc>
          <w:tcPr>
            <w:tcW w:w="5999" w:type="dxa"/>
            <w:vAlign w:val="center"/>
          </w:tcPr>
          <w:p>
            <w:pPr>
              <w:spacing w:line="360" w:lineRule="exact"/>
              <w:rPr>
                <w:rFonts w:ascii="仿宋" w:hAnsi="仿宋" w:eastAsia="仿宋" w:cs="方正小标宋简体"/>
                <w:sz w:val="24"/>
              </w:rPr>
            </w:pPr>
            <w:r>
              <w:rPr>
                <w:rFonts w:ascii="仿宋" w:hAnsi="仿宋" w:eastAsia="仿宋" w:cs="方正小标宋简体"/>
                <w:sz w:val="24"/>
              </w:rPr>
              <w:t>1.</w:t>
            </w:r>
            <w:r>
              <w:rPr>
                <w:rFonts w:hint="eastAsia" w:ascii="仿宋" w:hAnsi="仿宋" w:eastAsia="仿宋" w:cs="方正小标宋简体"/>
                <w:sz w:val="24"/>
              </w:rPr>
              <w:t>部门整体支出管理情况：我校财务管理依法依规，做到公开公平公正，严格执行各项有关法律法规、财经纪律、财务规章制度等。</w:t>
            </w:r>
          </w:p>
          <w:p>
            <w:pPr>
              <w:spacing w:line="360" w:lineRule="exact"/>
              <w:rPr>
                <w:rFonts w:ascii="仿宋" w:hAnsi="仿宋" w:eastAsia="仿宋" w:cs="方正小标宋简体"/>
                <w:sz w:val="24"/>
              </w:rPr>
            </w:pPr>
            <w:r>
              <w:rPr>
                <w:rFonts w:ascii="仿宋" w:hAnsi="仿宋" w:eastAsia="仿宋" w:cs="方正小标宋简体"/>
                <w:sz w:val="24"/>
              </w:rPr>
              <w:t>2.</w:t>
            </w:r>
            <w:r>
              <w:rPr>
                <w:rFonts w:hint="eastAsia" w:ascii="仿宋" w:hAnsi="仿宋" w:eastAsia="仿宋" w:cs="方正小标宋简体"/>
                <w:sz w:val="24"/>
              </w:rPr>
              <w:t>部门整体支出使用情况：</w:t>
            </w:r>
          </w:p>
          <w:p>
            <w:pPr>
              <w:spacing w:line="360" w:lineRule="exact"/>
              <w:rPr>
                <w:rFonts w:ascii="仿宋" w:hAnsi="仿宋" w:eastAsia="仿宋" w:cs="方正小标宋简体"/>
                <w:sz w:val="24"/>
              </w:rPr>
            </w:pPr>
            <w:r>
              <w:rPr>
                <w:rFonts w:hint="eastAsia" w:ascii="仿宋" w:hAnsi="仿宋" w:eastAsia="仿宋" w:cs="方正小标宋简体"/>
                <w:sz w:val="24"/>
              </w:rPr>
              <w:t>基本支出：我校</w:t>
            </w:r>
            <w:r>
              <w:rPr>
                <w:rFonts w:ascii="仿宋" w:hAnsi="仿宋" w:eastAsia="仿宋" w:cs="方正小标宋简体"/>
                <w:sz w:val="24"/>
              </w:rPr>
              <w:t>20</w:t>
            </w:r>
            <w:r>
              <w:rPr>
                <w:rFonts w:hint="eastAsia" w:ascii="仿宋" w:hAnsi="仿宋" w:eastAsia="仿宋" w:cs="方正小标宋简体"/>
                <w:sz w:val="24"/>
              </w:rPr>
              <w:t>2</w:t>
            </w:r>
            <w:r>
              <w:rPr>
                <w:rFonts w:hint="eastAsia" w:ascii="仿宋" w:hAnsi="仿宋" w:eastAsia="仿宋" w:cs="方正小标宋简体"/>
                <w:sz w:val="24"/>
                <w:lang w:val="en-US" w:eastAsia="zh-CN"/>
              </w:rPr>
              <w:t>3</w:t>
            </w:r>
            <w:r>
              <w:rPr>
                <w:rFonts w:hint="eastAsia" w:ascii="仿宋" w:hAnsi="仿宋" w:eastAsia="仿宋" w:cs="方正小标宋简体"/>
                <w:sz w:val="24"/>
              </w:rPr>
              <w:t>年度基本支出</w:t>
            </w:r>
            <w:r>
              <w:rPr>
                <w:rFonts w:hint="eastAsia" w:ascii="仿宋" w:hAnsi="仿宋" w:eastAsia="仿宋" w:cs="方正小标宋简体"/>
                <w:sz w:val="24"/>
                <w:lang w:val="en-US" w:eastAsia="zh-CN"/>
              </w:rPr>
              <w:t>3589.85</w:t>
            </w:r>
            <w:r>
              <w:rPr>
                <w:rFonts w:hint="eastAsia" w:ascii="仿宋" w:hAnsi="仿宋" w:eastAsia="仿宋" w:cs="方正小标宋简体"/>
                <w:sz w:val="24"/>
              </w:rPr>
              <w:t>万元，包括工资福利支出</w:t>
            </w:r>
            <w:r>
              <w:rPr>
                <w:rFonts w:hint="eastAsia" w:ascii="仿宋" w:hAnsi="仿宋" w:eastAsia="仿宋" w:cs="方正小标宋简体"/>
                <w:sz w:val="24"/>
                <w:lang w:val="en-US" w:eastAsia="zh-CN"/>
              </w:rPr>
              <w:t>2497.21</w:t>
            </w:r>
            <w:r>
              <w:rPr>
                <w:rFonts w:hint="eastAsia" w:ascii="仿宋" w:hAnsi="仿宋" w:eastAsia="仿宋" w:cs="方正小标宋简体"/>
                <w:sz w:val="24"/>
              </w:rPr>
              <w:t>万元，商品和服务支出</w:t>
            </w:r>
            <w:r>
              <w:rPr>
                <w:rFonts w:hint="eastAsia" w:ascii="仿宋" w:hAnsi="仿宋" w:eastAsia="仿宋" w:cs="方正小标宋简体"/>
                <w:sz w:val="24"/>
                <w:lang w:val="en-US" w:eastAsia="zh-CN"/>
              </w:rPr>
              <w:t>863.46</w:t>
            </w:r>
            <w:r>
              <w:rPr>
                <w:rFonts w:hint="eastAsia" w:ascii="仿宋" w:hAnsi="仿宋" w:eastAsia="仿宋" w:cs="方正小标宋简体"/>
                <w:sz w:val="24"/>
              </w:rPr>
              <w:t>万元，对个人和家庭的补助</w:t>
            </w:r>
            <w:r>
              <w:rPr>
                <w:rFonts w:hint="eastAsia" w:ascii="仿宋" w:hAnsi="仿宋" w:eastAsia="仿宋" w:cs="方正小标宋简体"/>
                <w:sz w:val="24"/>
                <w:lang w:val="en-US" w:eastAsia="zh-CN"/>
              </w:rPr>
              <w:t>216.02</w:t>
            </w:r>
            <w:r>
              <w:rPr>
                <w:rFonts w:hint="eastAsia" w:ascii="仿宋" w:hAnsi="仿宋" w:eastAsia="仿宋" w:cs="方正小标宋简体"/>
                <w:sz w:val="24"/>
              </w:rPr>
              <w:t>万元,资本性支出</w:t>
            </w:r>
            <w:r>
              <w:rPr>
                <w:rFonts w:hint="eastAsia" w:ascii="仿宋" w:hAnsi="仿宋" w:eastAsia="仿宋" w:cs="方正小标宋简体"/>
                <w:sz w:val="24"/>
                <w:lang w:val="en-US" w:eastAsia="zh-CN"/>
              </w:rPr>
              <w:t>13.16</w:t>
            </w:r>
            <w:r>
              <w:rPr>
                <w:rFonts w:hint="eastAsia" w:ascii="仿宋" w:hAnsi="仿宋" w:eastAsia="仿宋" w:cs="方正小标宋简体"/>
                <w:sz w:val="24"/>
              </w:rPr>
              <w:t>万元。</w:t>
            </w:r>
          </w:p>
          <w:p>
            <w:pPr>
              <w:spacing w:line="360" w:lineRule="exact"/>
              <w:ind w:right="-76" w:rightChars="-36"/>
              <w:rPr>
                <w:rFonts w:ascii="宋体" w:cs="宋体"/>
                <w:szCs w:val="21"/>
              </w:rPr>
            </w:pPr>
            <w:r>
              <w:rPr>
                <w:rFonts w:hint="eastAsia" w:ascii="仿宋" w:hAnsi="仿宋" w:eastAsia="仿宋" w:cs="方正小标宋简体"/>
                <w:sz w:val="24"/>
              </w:rPr>
              <w:t>三公经费使用情况：公务接待支出</w:t>
            </w:r>
            <w:r>
              <w:rPr>
                <w:rFonts w:ascii="仿宋" w:hAnsi="仿宋" w:eastAsia="仿宋" w:cs="方正小标宋简体"/>
                <w:sz w:val="24"/>
              </w:rPr>
              <w:t>20</w:t>
            </w:r>
            <w:r>
              <w:rPr>
                <w:rFonts w:hint="eastAsia" w:ascii="仿宋" w:hAnsi="仿宋" w:eastAsia="仿宋" w:cs="方正小标宋简体"/>
                <w:sz w:val="24"/>
              </w:rPr>
              <w:t>2</w:t>
            </w:r>
            <w:r>
              <w:rPr>
                <w:rFonts w:hint="eastAsia" w:ascii="仿宋" w:hAnsi="仿宋" w:eastAsia="仿宋" w:cs="方正小标宋简体"/>
                <w:sz w:val="24"/>
                <w:lang w:val="en-US" w:eastAsia="zh-CN"/>
              </w:rPr>
              <w:t>3</w:t>
            </w:r>
            <w:r>
              <w:rPr>
                <w:rFonts w:hint="eastAsia" w:ascii="仿宋" w:hAnsi="仿宋" w:eastAsia="仿宋" w:cs="方正小标宋简体"/>
                <w:sz w:val="24"/>
              </w:rPr>
              <w:t>年预算控制数为0万元，年末公务接待支出</w:t>
            </w:r>
            <w:r>
              <w:rPr>
                <w:rFonts w:ascii="仿宋" w:hAnsi="仿宋" w:eastAsia="仿宋" w:cs="方正小标宋简体"/>
                <w:sz w:val="24"/>
              </w:rPr>
              <w:t>0</w:t>
            </w:r>
            <w:r>
              <w:rPr>
                <w:rFonts w:hint="eastAsia" w:ascii="仿宋" w:hAnsi="仿宋" w:eastAsia="仿宋" w:cs="方正小标宋简体"/>
                <w:sz w:val="24"/>
              </w:rPr>
              <w:t>万元。公务用车支出</w:t>
            </w:r>
            <w:r>
              <w:rPr>
                <w:rFonts w:ascii="仿宋" w:hAnsi="仿宋" w:eastAsia="仿宋" w:cs="方正小标宋简体"/>
                <w:sz w:val="24"/>
              </w:rPr>
              <w:t>20</w:t>
            </w:r>
            <w:r>
              <w:rPr>
                <w:rFonts w:hint="eastAsia" w:ascii="仿宋" w:hAnsi="仿宋" w:eastAsia="仿宋" w:cs="方正小标宋简体"/>
                <w:sz w:val="24"/>
              </w:rPr>
              <w:t>2</w:t>
            </w:r>
            <w:r>
              <w:rPr>
                <w:rFonts w:hint="eastAsia" w:ascii="仿宋" w:hAnsi="仿宋" w:eastAsia="仿宋" w:cs="方正小标宋简体"/>
                <w:sz w:val="24"/>
                <w:lang w:val="en-US" w:eastAsia="zh-CN"/>
              </w:rPr>
              <w:t>3</w:t>
            </w:r>
            <w:r>
              <w:rPr>
                <w:rFonts w:hint="eastAsia" w:ascii="仿宋" w:hAnsi="仿宋" w:eastAsia="仿宋" w:cs="方正小标宋简体"/>
                <w:sz w:val="24"/>
              </w:rPr>
              <w:t>年预算控制数为6.4万元，年末公务用车支出6.4万元。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绩效目标完成情况</w:t>
            </w:r>
          </w:p>
        </w:tc>
        <w:tc>
          <w:tcPr>
            <w:tcW w:w="5999" w:type="dxa"/>
            <w:vAlign w:val="center"/>
          </w:tcPr>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1.意识形态阵地更牢</w:t>
            </w:r>
            <w:r>
              <w:rPr>
                <w:rFonts w:hint="eastAsia" w:ascii="楷体" w:hAnsi="楷体" w:eastAsia="楷体"/>
                <w:sz w:val="24"/>
                <w:szCs w:val="24"/>
              </w:rPr>
              <w:t>。</w:t>
            </w:r>
            <w:r>
              <w:rPr>
                <w:rFonts w:hint="eastAsia" w:ascii="仿宋" w:hAnsi="仿宋" w:eastAsia="仿宋"/>
                <w:sz w:val="24"/>
                <w:szCs w:val="24"/>
              </w:rPr>
              <w:t>微信公众号推送新闻报道223篇，全年新增关注人数3200余人，点击量总计126000余次，抖音号推送视频21条，校园网站更新内容180余条，在省市级媒体宣传报道76次。</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2.在思想教育上培根铸魂。</w:t>
            </w:r>
            <w:r>
              <w:rPr>
                <w:rFonts w:hint="eastAsia" w:ascii="仿宋" w:hAnsi="仿宋" w:eastAsia="仿宋"/>
                <w:sz w:val="24"/>
                <w:szCs w:val="24"/>
              </w:rPr>
              <w:t>1名教师获评省级优秀班主任，2名教师获评市级优秀班主任，1名教师获评市级优秀德育工作者，1名教师获省级中职班主任能力比赛三等奖，1名教师获市级中小学优秀德育论文一等奖。新增了学校思政教学团队被认定为湖南省“楚怡”思政教学团队，1名老师参加湖南省职业院校公共基础课思政课程教学设计及说课比赛获一等奖；加强社团建设，以“社团思政”理念开拓“思政社团”建设新路径。</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3.在群团工作上协同发力。</w:t>
            </w:r>
            <w:r>
              <w:rPr>
                <w:rFonts w:hint="eastAsia" w:ascii="仿宋" w:hAnsi="仿宋" w:eastAsia="仿宋"/>
                <w:sz w:val="24"/>
                <w:szCs w:val="24"/>
              </w:rPr>
              <w:t>1个班级团支部被评为市教育系统共青团工作“先进团支部”，1名教师指导的社团获市级优秀学生社团，1名教师或市教育系统共青团工作优秀教工团员1个，1名学生获市优秀共青团员，2名学生获市级优秀干部，4名学生获市级优秀团员。</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4.在学生管理中拔节抽苗。</w:t>
            </w:r>
            <w:r>
              <w:rPr>
                <w:rFonts w:hint="eastAsia" w:ascii="仿宋" w:hAnsi="仿宋" w:eastAsia="仿宋"/>
                <w:sz w:val="24"/>
                <w:szCs w:val="24"/>
              </w:rPr>
              <w:t>在2023年职业院校“技能成才 强国有我”文明风采系列活动中，获男子篮球赛省级二等奖、省级精神文明奖、啦啦操比赛市级二等奖，1名学生获市中职“技能成才 强国有我”主题演讲比赛一等奖，2名学生获省级“三好学生”，4名学生获市级“三好学生”，2名学生获市级“优秀实习生”，2个班级获市级优秀班集体。</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5.教育教学实现大跨越。</w:t>
            </w:r>
            <w:r>
              <w:rPr>
                <w:rFonts w:hint="eastAsia" w:ascii="仿宋" w:hAnsi="仿宋" w:eastAsia="仿宋"/>
                <w:sz w:val="24"/>
                <w:szCs w:val="24"/>
              </w:rPr>
              <w:t>连续三年荣获湘潭市教师职业能力比赛团体一等奖，在2023年职业院校教师教学能力比赛中，获省赛二等奖2个，三等奖2个，获市赛一等奖3个，二等奖6个，三等奖1个；参加湖南省职业院校公共基础课教学设计及说课比赛获一等奖2个，三等奖2个；指导学生参加2023年湖南省职业院校技能比赛获二等奖1个，三等奖7个；市级比赛获一等奖6个，二等奖7个，三等奖14个。</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6.招生就业实现大蝶变。</w:t>
            </w:r>
            <w:r>
              <w:rPr>
                <w:rFonts w:hint="eastAsia" w:ascii="仿宋" w:hAnsi="仿宋" w:eastAsia="仿宋"/>
                <w:sz w:val="24"/>
                <w:szCs w:val="24"/>
              </w:rPr>
              <w:t>今年共招收新生7</w:t>
            </w:r>
            <w:r>
              <w:rPr>
                <w:rFonts w:hint="eastAsia" w:ascii="仿宋" w:hAnsi="仿宋" w:eastAsia="仿宋"/>
                <w:sz w:val="24"/>
                <w:szCs w:val="24"/>
                <w:lang w:val="en-US" w:eastAsia="zh-CN"/>
              </w:rPr>
              <w:t>43</w:t>
            </w:r>
            <w:r>
              <w:rPr>
                <w:rFonts w:hint="eastAsia" w:ascii="仿宋" w:hAnsi="仿宋" w:eastAsia="仿宋"/>
                <w:sz w:val="24"/>
                <w:szCs w:val="24"/>
              </w:rPr>
              <w:t>人，招录高分学生人数260人（800至750分数段8人、750至600分数段47人、600至500分数段205人），优质生占比为34.</w:t>
            </w:r>
            <w:r>
              <w:rPr>
                <w:rFonts w:hint="eastAsia" w:ascii="仿宋" w:hAnsi="仿宋" w:eastAsia="仿宋"/>
                <w:sz w:val="24"/>
                <w:szCs w:val="24"/>
                <w:lang w:val="en-US" w:eastAsia="zh-CN"/>
              </w:rPr>
              <w:t>99</w:t>
            </w:r>
            <w:r>
              <w:rPr>
                <w:rFonts w:hint="eastAsia" w:ascii="仿宋" w:hAnsi="仿宋" w:eastAsia="仿宋"/>
                <w:sz w:val="24"/>
                <w:szCs w:val="24"/>
              </w:rPr>
              <w:t>%，较2022年提高了9.6%，本地生406人，占比为54%，外地生352人，占比为46%。</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7.以坚实队伍担纲领衔。</w:t>
            </w:r>
            <w:r>
              <w:rPr>
                <w:rFonts w:hint="eastAsia" w:ascii="仿宋" w:hAnsi="仿宋" w:eastAsia="仿宋"/>
                <w:sz w:val="24"/>
                <w:szCs w:val="24"/>
              </w:rPr>
              <w:t>持续夯实发展基础。选派了164人次参加了国、省、市级培训，其中国、省培</w:t>
            </w:r>
            <w:r>
              <w:rPr>
                <w:rFonts w:hint="eastAsia" w:ascii="仿宋" w:hAnsi="仿宋" w:eastAsia="仿宋"/>
                <w:sz w:val="24"/>
                <w:szCs w:val="24"/>
                <w:lang w:val="en-US" w:eastAsia="zh-CN"/>
              </w:rPr>
              <w:t>30</w:t>
            </w:r>
            <w:r>
              <w:rPr>
                <w:rFonts w:hint="eastAsia" w:ascii="仿宋" w:hAnsi="仿宋" w:eastAsia="仿宋"/>
                <w:sz w:val="24"/>
                <w:szCs w:val="24"/>
              </w:rPr>
              <w:t>人次，市</w:t>
            </w:r>
            <w:r>
              <w:rPr>
                <w:rFonts w:hint="eastAsia" w:ascii="仿宋" w:hAnsi="仿宋" w:eastAsia="仿宋"/>
                <w:sz w:val="24"/>
                <w:szCs w:val="24"/>
                <w:lang w:val="en-US" w:eastAsia="zh-CN"/>
              </w:rPr>
              <w:t>培</w:t>
            </w:r>
            <w:r>
              <w:rPr>
                <w:rFonts w:hint="eastAsia" w:ascii="仿宋" w:hAnsi="仿宋" w:eastAsia="仿宋"/>
                <w:sz w:val="24"/>
                <w:szCs w:val="24"/>
              </w:rPr>
              <w:t>136人次，提升了我校教师教育教学水平；1名教师获评湖南省现代农业职教教育名师，1名教师被</w:t>
            </w:r>
            <w:bookmarkStart w:id="0" w:name="_GoBack"/>
            <w:bookmarkEnd w:id="0"/>
            <w:r>
              <w:rPr>
                <w:rFonts w:hint="eastAsia" w:ascii="仿宋" w:hAnsi="仿宋" w:eastAsia="仿宋"/>
                <w:sz w:val="24"/>
                <w:szCs w:val="24"/>
              </w:rPr>
              <w:t>选为湘潭市高层次人才E类，2名教师分获评湘潭市工匠名师、莲城教育名师，1名中层干部选派至新疆吐鲁番市开展对口援助工作。</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8.办学条件越来越完善。</w:t>
            </w:r>
            <w:r>
              <w:rPr>
                <w:rFonts w:hint="eastAsia" w:ascii="仿宋" w:hAnsi="仿宋" w:eastAsia="仿宋"/>
                <w:sz w:val="24"/>
                <w:szCs w:val="24"/>
              </w:rPr>
              <w:t>完成医务室维修改造、综合楼9楼教室改造等六个子项目建设；全年共计投入116万推行实训室“6S精益管理项目”；新建了钳工实训室、植物嫁接实训室、汽修实训室，改善学生实习实训条件。</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9.安全生产越来越稳固。</w:t>
            </w:r>
            <w:r>
              <w:rPr>
                <w:rFonts w:hint="eastAsia" w:ascii="仿宋" w:hAnsi="仿宋" w:eastAsia="仿宋"/>
                <w:sz w:val="24"/>
                <w:szCs w:val="24"/>
              </w:rPr>
              <w:t>在平安学校建设、安全生产消防工作考评中，获市教育局高度肯定。多名学生在湘潭县勇扑山火，被湘潭县委县政府评为见义勇为先进个人。</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sz w:val="24"/>
                <w:szCs w:val="24"/>
              </w:rPr>
            </w:pPr>
            <w:r>
              <w:rPr>
                <w:rFonts w:hint="eastAsia" w:ascii="楷体" w:hAnsi="楷体" w:eastAsia="楷体"/>
                <w:b/>
                <w:sz w:val="24"/>
                <w:szCs w:val="24"/>
              </w:rPr>
              <w:t>10.社会培训越来越优质。</w:t>
            </w:r>
            <w:r>
              <w:rPr>
                <w:rFonts w:hint="eastAsia" w:ascii="仿宋" w:hAnsi="仿宋" w:eastAsia="仿宋"/>
                <w:sz w:val="24"/>
                <w:szCs w:val="24"/>
              </w:rPr>
              <w:t>举办了高素质农民培育、市乡村残疾人人才培训等培训班共5期，全年共培训344人。顺利通过了2023年湖南省残疾人人才培训示范基地评选，并被湘潭市、湘潭县农业农村局推荐参选2023年度湖南省高素质农民培育优秀培训机构。</w:t>
            </w:r>
          </w:p>
          <w:p>
            <w:pPr>
              <w:spacing w:line="320" w:lineRule="exact"/>
              <w:ind w:firstLine="480" w:firstLineChars="200"/>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1384" w:type="dxa"/>
            <w:vMerge w:val="restart"/>
            <w:vAlign w:val="center"/>
          </w:tcPr>
          <w:p>
            <w:pPr>
              <w:spacing w:line="576" w:lineRule="exact"/>
              <w:jc w:val="center"/>
              <w:rPr>
                <w:rFonts w:ascii="宋体" w:cs="宋体"/>
                <w:szCs w:val="21"/>
              </w:rPr>
            </w:pPr>
            <w:r>
              <w:rPr>
                <w:rFonts w:hint="eastAsia" w:ascii="宋体" w:hAnsi="宋体" w:cs="宋体"/>
                <w:szCs w:val="21"/>
              </w:rPr>
              <w:t>存在的问题分析及改进措施</w:t>
            </w:r>
          </w:p>
        </w:tc>
        <w:tc>
          <w:tcPr>
            <w:tcW w:w="1656" w:type="dxa"/>
            <w:vAlign w:val="center"/>
          </w:tcPr>
          <w:p>
            <w:pPr>
              <w:spacing w:line="576" w:lineRule="exact"/>
              <w:jc w:val="center"/>
              <w:rPr>
                <w:rFonts w:ascii="宋体" w:cs="宋体"/>
                <w:szCs w:val="21"/>
              </w:rPr>
            </w:pPr>
            <w:r>
              <w:rPr>
                <w:rFonts w:hint="eastAsia" w:ascii="宋体" w:hAnsi="宋体" w:cs="宋体"/>
                <w:szCs w:val="21"/>
              </w:rPr>
              <w:t>存在的问题</w:t>
            </w:r>
          </w:p>
        </w:tc>
        <w:tc>
          <w:tcPr>
            <w:tcW w:w="5999" w:type="dxa"/>
            <w:vAlign w:val="center"/>
          </w:tcPr>
          <w:p>
            <w:pPr>
              <w:spacing w:line="360" w:lineRule="exact"/>
              <w:rPr>
                <w:rFonts w:ascii="仿宋" w:hAnsi="仿宋" w:eastAsia="仿宋" w:cs="方正小标宋简体"/>
                <w:sz w:val="24"/>
              </w:rPr>
            </w:pPr>
            <w:r>
              <w:rPr>
                <w:rFonts w:ascii="仿宋" w:hAnsi="仿宋" w:eastAsia="仿宋" w:cs="方正小标宋简体"/>
                <w:sz w:val="24"/>
              </w:rPr>
              <w:t>1.</w:t>
            </w:r>
            <w:r>
              <w:rPr>
                <w:rFonts w:hint="eastAsia" w:ascii="仿宋" w:hAnsi="仿宋" w:eastAsia="仿宋" w:cs="方正小标宋简体"/>
                <w:sz w:val="24"/>
              </w:rPr>
              <w:t>资金安排比例不优，使用过程中存在结构不良的问题。</w:t>
            </w:r>
          </w:p>
          <w:p>
            <w:pPr>
              <w:spacing w:line="360" w:lineRule="exact"/>
              <w:rPr>
                <w:rFonts w:ascii="仿宋" w:hAnsi="仿宋" w:eastAsia="仿宋" w:cs="方正小标宋简体"/>
                <w:sz w:val="24"/>
              </w:rPr>
            </w:pPr>
            <w:r>
              <w:rPr>
                <w:rFonts w:ascii="仿宋" w:hAnsi="仿宋" w:eastAsia="仿宋" w:cs="方正小标宋简体"/>
                <w:sz w:val="24"/>
              </w:rPr>
              <w:t>2.</w:t>
            </w:r>
            <w:r>
              <w:rPr>
                <w:rFonts w:hint="eastAsia" w:ascii="仿宋" w:hAnsi="仿宋" w:eastAsia="仿宋" w:cs="方正小标宋简体"/>
                <w:sz w:val="24"/>
              </w:rPr>
              <w:t>在执行内部控制制度方面还有待进一步加强与完善。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改进措施</w:t>
            </w:r>
          </w:p>
        </w:tc>
        <w:tc>
          <w:tcPr>
            <w:tcW w:w="5999" w:type="dxa"/>
            <w:vAlign w:val="center"/>
          </w:tcPr>
          <w:p>
            <w:pPr>
              <w:spacing w:line="360" w:lineRule="exact"/>
              <w:rPr>
                <w:rFonts w:ascii="仿宋" w:hAnsi="仿宋" w:eastAsia="仿宋" w:cs="方正小标宋简体"/>
                <w:sz w:val="24"/>
              </w:rPr>
            </w:pPr>
            <w:r>
              <w:rPr>
                <w:rFonts w:ascii="仿宋" w:hAnsi="仿宋" w:eastAsia="仿宋" w:cs="方正小标宋简体"/>
                <w:sz w:val="24"/>
              </w:rPr>
              <w:t>1.</w:t>
            </w:r>
            <w:r>
              <w:rPr>
                <w:rFonts w:hint="eastAsia" w:ascii="仿宋" w:hAnsi="仿宋" w:eastAsia="仿宋" w:cs="方正小标宋简体"/>
                <w:sz w:val="24"/>
              </w:rPr>
              <w:t>更加合理安排各项经费，保障学校正常教育支出。</w:t>
            </w:r>
          </w:p>
          <w:p>
            <w:pPr>
              <w:spacing w:line="360" w:lineRule="exact"/>
              <w:rPr>
                <w:rFonts w:ascii="仿宋" w:hAnsi="仿宋" w:eastAsia="仿宋" w:cs="方正小标宋简体"/>
                <w:sz w:val="24"/>
              </w:rPr>
            </w:pPr>
            <w:r>
              <w:rPr>
                <w:rFonts w:ascii="仿宋" w:hAnsi="仿宋" w:eastAsia="仿宋" w:cs="方正小标宋简体"/>
                <w:sz w:val="24"/>
              </w:rPr>
              <w:t>2.</w:t>
            </w:r>
            <w:r>
              <w:rPr>
                <w:rFonts w:hint="eastAsia" w:ascii="仿宋" w:hAnsi="仿宋" w:eastAsia="仿宋" w:cs="方正小标宋简体"/>
                <w:sz w:val="24"/>
              </w:rPr>
              <w:t>邀请市财政局及有关部门专家对我校中层以上干部进行内部控制和绩效目标管理评价等方面的指导和培训。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1384" w:type="dxa"/>
            <w:vMerge w:val="continue"/>
          </w:tcPr>
          <w:p>
            <w:pPr>
              <w:spacing w:line="576" w:lineRule="exact"/>
              <w:jc w:val="center"/>
              <w:rPr>
                <w:rFonts w:ascii="宋体" w:cs="宋体"/>
                <w:szCs w:val="21"/>
              </w:rPr>
            </w:pPr>
          </w:p>
        </w:tc>
        <w:tc>
          <w:tcPr>
            <w:tcW w:w="1656" w:type="dxa"/>
            <w:vAlign w:val="center"/>
          </w:tcPr>
          <w:p>
            <w:pPr>
              <w:spacing w:line="576" w:lineRule="exact"/>
              <w:jc w:val="center"/>
              <w:rPr>
                <w:rFonts w:ascii="宋体" w:cs="宋体"/>
                <w:szCs w:val="21"/>
              </w:rPr>
            </w:pPr>
            <w:r>
              <w:rPr>
                <w:rFonts w:hint="eastAsia" w:ascii="宋体" w:hAnsi="宋体" w:cs="宋体"/>
                <w:szCs w:val="21"/>
              </w:rPr>
              <w:t>其他需要说明问题</w:t>
            </w:r>
          </w:p>
        </w:tc>
        <w:tc>
          <w:tcPr>
            <w:tcW w:w="5999" w:type="dxa"/>
            <w:vAlign w:val="center"/>
          </w:tcPr>
          <w:p>
            <w:pPr>
              <w:spacing w:line="360" w:lineRule="exact"/>
              <w:rPr>
                <w:rFonts w:ascii="仿宋" w:hAnsi="仿宋" w:eastAsia="仿宋" w:cs="方正小标宋简体"/>
                <w:sz w:val="24"/>
              </w:rPr>
            </w:pPr>
            <w:r>
              <w:rPr>
                <w:rFonts w:ascii="仿宋" w:hAnsi="仿宋" w:eastAsia="仿宋" w:cs="方正小标宋简体"/>
                <w:sz w:val="24"/>
              </w:rPr>
              <w:t>1.</w:t>
            </w:r>
            <w:r>
              <w:rPr>
                <w:rFonts w:hint="eastAsia" w:ascii="仿宋" w:hAnsi="仿宋" w:eastAsia="仿宋" w:cs="方正小标宋简体"/>
                <w:sz w:val="24"/>
              </w:rPr>
              <w:t>我校为公益性二类单位，中职免学费收入未列入年初预算。</w:t>
            </w:r>
          </w:p>
          <w:p>
            <w:pPr>
              <w:spacing w:line="360" w:lineRule="exact"/>
              <w:rPr>
                <w:rFonts w:ascii="仿宋" w:hAnsi="仿宋" w:eastAsia="仿宋" w:cs="方正小标宋简体"/>
                <w:sz w:val="24"/>
              </w:rPr>
            </w:pPr>
            <w:r>
              <w:rPr>
                <w:rFonts w:ascii="仿宋" w:hAnsi="仿宋" w:eastAsia="仿宋" w:cs="方正小标宋简体"/>
                <w:sz w:val="24"/>
              </w:rPr>
              <w:t>2.</w:t>
            </w:r>
            <w:r>
              <w:rPr>
                <w:rFonts w:hint="eastAsia" w:ascii="仿宋" w:hAnsi="仿宋" w:eastAsia="仿宋" w:cs="方正小标宋简体"/>
                <w:sz w:val="24"/>
              </w:rPr>
              <w:t>年度绩效考核奖奖励性部份未列入年初预算。</w:t>
            </w:r>
          </w:p>
          <w:p>
            <w:pPr>
              <w:spacing w:line="360" w:lineRule="exact"/>
              <w:rPr>
                <w:rFonts w:ascii="仿宋" w:hAnsi="仿宋" w:eastAsia="仿宋" w:cs="方正小标宋简体"/>
                <w:szCs w:val="32"/>
              </w:rPr>
            </w:pPr>
            <w:r>
              <w:rPr>
                <w:rFonts w:ascii="仿宋" w:hAnsi="仿宋" w:eastAsia="仿宋" w:cs="方正小标宋简体"/>
                <w:sz w:val="24"/>
              </w:rPr>
              <w:t>3.</w:t>
            </w:r>
            <w:r>
              <w:rPr>
                <w:rFonts w:hint="eastAsia" w:ascii="仿宋" w:hAnsi="仿宋" w:eastAsia="仿宋" w:cs="方正小标宋简体"/>
                <w:sz w:val="24"/>
              </w:rPr>
              <w:t>职业教育专项和改善中职办学条件专项资金未列入年初预算。</w:t>
            </w:r>
          </w:p>
        </w:tc>
      </w:tr>
    </w:tbl>
    <w:p>
      <w:pPr>
        <w:widowControl/>
        <w:jc w:val="left"/>
        <w:rPr>
          <w:rFonts w:ascii="宋体" w:cs="宋体"/>
          <w:kern w:val="0"/>
          <w:sz w:val="32"/>
          <w:szCs w:val="32"/>
        </w:rPr>
      </w:pPr>
      <w:r>
        <w:rPr>
          <w:rFonts w:hint="eastAsia" w:ascii="宋体" w:cs="宋体"/>
          <w:kern w:val="0"/>
          <w:sz w:val="32"/>
          <w:szCs w:val="32"/>
        </w:rPr>
        <w:t xml:space="preserve">                                 湘潭生物机电学校</w:t>
      </w:r>
    </w:p>
    <w:p>
      <w:pPr>
        <w:widowControl/>
        <w:jc w:val="left"/>
        <w:rPr>
          <w:rFonts w:ascii="宋体" w:cs="宋体"/>
          <w:kern w:val="0"/>
          <w:sz w:val="32"/>
          <w:szCs w:val="32"/>
        </w:rPr>
      </w:pPr>
      <w:r>
        <w:rPr>
          <w:rFonts w:hint="eastAsia" w:ascii="宋体" w:cs="宋体"/>
          <w:kern w:val="0"/>
          <w:sz w:val="32"/>
          <w:szCs w:val="32"/>
        </w:rPr>
        <w:t xml:space="preserve">                                  202</w:t>
      </w:r>
      <w:r>
        <w:rPr>
          <w:rFonts w:hint="eastAsia" w:ascii="宋体" w:cs="宋体"/>
          <w:kern w:val="0"/>
          <w:sz w:val="32"/>
          <w:szCs w:val="32"/>
          <w:lang w:val="en-US" w:eastAsia="zh-CN"/>
        </w:rPr>
        <w:t>4</w:t>
      </w:r>
      <w:r>
        <w:rPr>
          <w:rFonts w:hint="eastAsia" w:ascii="宋体" w:cs="宋体"/>
          <w:kern w:val="0"/>
          <w:sz w:val="32"/>
          <w:szCs w:val="32"/>
        </w:rPr>
        <w:t>年</w:t>
      </w:r>
      <w:r>
        <w:rPr>
          <w:rFonts w:hint="eastAsia" w:ascii="宋体" w:cs="宋体"/>
          <w:kern w:val="0"/>
          <w:sz w:val="32"/>
          <w:szCs w:val="32"/>
          <w:lang w:val="en-US" w:eastAsia="zh-CN"/>
        </w:rPr>
        <w:t>4</w:t>
      </w:r>
      <w:r>
        <w:rPr>
          <w:rFonts w:hint="eastAsia" w:ascii="宋体" w:cs="宋体"/>
          <w:kern w:val="0"/>
          <w:sz w:val="32"/>
          <w:szCs w:val="32"/>
        </w:rPr>
        <w:t>月</w:t>
      </w:r>
      <w:r>
        <w:rPr>
          <w:rFonts w:hint="eastAsia" w:ascii="宋体" w:cs="宋体"/>
          <w:kern w:val="0"/>
          <w:sz w:val="32"/>
          <w:szCs w:val="32"/>
          <w:lang w:val="en-US" w:eastAsia="zh-CN"/>
        </w:rPr>
        <w:t>24</w:t>
      </w:r>
      <w:r>
        <w:rPr>
          <w:rFonts w:hint="eastAsia" w:ascii="宋体" w:cs="宋体"/>
          <w:kern w:val="0"/>
          <w:sz w:val="32"/>
          <w:szCs w:val="32"/>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5CC"/>
    <w:rsid w:val="00035B0E"/>
    <w:rsid w:val="000452D1"/>
    <w:rsid w:val="0007728D"/>
    <w:rsid w:val="00085C73"/>
    <w:rsid w:val="000A6A2E"/>
    <w:rsid w:val="000B7A4F"/>
    <w:rsid w:val="000E27CD"/>
    <w:rsid w:val="000E464F"/>
    <w:rsid w:val="000F60E0"/>
    <w:rsid w:val="00101417"/>
    <w:rsid w:val="00132247"/>
    <w:rsid w:val="001401EF"/>
    <w:rsid w:val="00145D7A"/>
    <w:rsid w:val="0015183F"/>
    <w:rsid w:val="001655FA"/>
    <w:rsid w:val="00177D06"/>
    <w:rsid w:val="00196CD5"/>
    <w:rsid w:val="001B7920"/>
    <w:rsid w:val="001D0138"/>
    <w:rsid w:val="001D1669"/>
    <w:rsid w:val="00214AE7"/>
    <w:rsid w:val="00222732"/>
    <w:rsid w:val="0023076C"/>
    <w:rsid w:val="00243F92"/>
    <w:rsid w:val="00252B2C"/>
    <w:rsid w:val="0028647C"/>
    <w:rsid w:val="002B0D76"/>
    <w:rsid w:val="002C71B5"/>
    <w:rsid w:val="002F1537"/>
    <w:rsid w:val="00311DE6"/>
    <w:rsid w:val="003163C1"/>
    <w:rsid w:val="0035377A"/>
    <w:rsid w:val="00354C65"/>
    <w:rsid w:val="00363B51"/>
    <w:rsid w:val="00374D80"/>
    <w:rsid w:val="003774E2"/>
    <w:rsid w:val="00385506"/>
    <w:rsid w:val="00386AB5"/>
    <w:rsid w:val="003C3FAE"/>
    <w:rsid w:val="003E4111"/>
    <w:rsid w:val="00416A69"/>
    <w:rsid w:val="00417CF7"/>
    <w:rsid w:val="00432EE7"/>
    <w:rsid w:val="0043337E"/>
    <w:rsid w:val="00437629"/>
    <w:rsid w:val="00467A4B"/>
    <w:rsid w:val="004720E1"/>
    <w:rsid w:val="004957FC"/>
    <w:rsid w:val="004B3099"/>
    <w:rsid w:val="004C1C2E"/>
    <w:rsid w:val="004F2109"/>
    <w:rsid w:val="00500052"/>
    <w:rsid w:val="0051342A"/>
    <w:rsid w:val="00540859"/>
    <w:rsid w:val="00543D23"/>
    <w:rsid w:val="00546563"/>
    <w:rsid w:val="0057240E"/>
    <w:rsid w:val="005A1C26"/>
    <w:rsid w:val="005A75AC"/>
    <w:rsid w:val="005C0981"/>
    <w:rsid w:val="005C7F25"/>
    <w:rsid w:val="005F30C7"/>
    <w:rsid w:val="005F5B77"/>
    <w:rsid w:val="00640DD0"/>
    <w:rsid w:val="00650FFA"/>
    <w:rsid w:val="00652DE6"/>
    <w:rsid w:val="00656B35"/>
    <w:rsid w:val="00660BF6"/>
    <w:rsid w:val="00662ECB"/>
    <w:rsid w:val="00694A57"/>
    <w:rsid w:val="006C493B"/>
    <w:rsid w:val="006C540C"/>
    <w:rsid w:val="006D0BA0"/>
    <w:rsid w:val="006D623B"/>
    <w:rsid w:val="006D663B"/>
    <w:rsid w:val="00736B2B"/>
    <w:rsid w:val="007605F7"/>
    <w:rsid w:val="007D4364"/>
    <w:rsid w:val="007E20F9"/>
    <w:rsid w:val="00802E91"/>
    <w:rsid w:val="008210E2"/>
    <w:rsid w:val="00831933"/>
    <w:rsid w:val="00854F91"/>
    <w:rsid w:val="008904BD"/>
    <w:rsid w:val="008A592D"/>
    <w:rsid w:val="008B6C72"/>
    <w:rsid w:val="008C70C6"/>
    <w:rsid w:val="008D69A4"/>
    <w:rsid w:val="008E2864"/>
    <w:rsid w:val="008E2EE8"/>
    <w:rsid w:val="00961520"/>
    <w:rsid w:val="009819FC"/>
    <w:rsid w:val="009B62FB"/>
    <w:rsid w:val="009C7808"/>
    <w:rsid w:val="009D3D8F"/>
    <w:rsid w:val="009E4EF7"/>
    <w:rsid w:val="00A12DC6"/>
    <w:rsid w:val="00A26A43"/>
    <w:rsid w:val="00A424C6"/>
    <w:rsid w:val="00A4480F"/>
    <w:rsid w:val="00A44900"/>
    <w:rsid w:val="00A52F90"/>
    <w:rsid w:val="00A536EE"/>
    <w:rsid w:val="00A60D2C"/>
    <w:rsid w:val="00A738E1"/>
    <w:rsid w:val="00A96429"/>
    <w:rsid w:val="00AA4467"/>
    <w:rsid w:val="00AA7D79"/>
    <w:rsid w:val="00AB13A3"/>
    <w:rsid w:val="00AF198B"/>
    <w:rsid w:val="00AF5EA2"/>
    <w:rsid w:val="00B21965"/>
    <w:rsid w:val="00B22AA7"/>
    <w:rsid w:val="00B33E5E"/>
    <w:rsid w:val="00B42E34"/>
    <w:rsid w:val="00B70FC4"/>
    <w:rsid w:val="00B75B17"/>
    <w:rsid w:val="00B82629"/>
    <w:rsid w:val="00B875CC"/>
    <w:rsid w:val="00B939F8"/>
    <w:rsid w:val="00B958B2"/>
    <w:rsid w:val="00BA3BC8"/>
    <w:rsid w:val="00C011C2"/>
    <w:rsid w:val="00C0225A"/>
    <w:rsid w:val="00C1538D"/>
    <w:rsid w:val="00C24D48"/>
    <w:rsid w:val="00C652CC"/>
    <w:rsid w:val="00C75CFA"/>
    <w:rsid w:val="00C820ED"/>
    <w:rsid w:val="00C838FF"/>
    <w:rsid w:val="00C879E5"/>
    <w:rsid w:val="00CA1525"/>
    <w:rsid w:val="00CA7B51"/>
    <w:rsid w:val="00CB4AAF"/>
    <w:rsid w:val="00CB72D7"/>
    <w:rsid w:val="00CB7492"/>
    <w:rsid w:val="00CE1F97"/>
    <w:rsid w:val="00D163C9"/>
    <w:rsid w:val="00D2002F"/>
    <w:rsid w:val="00D27D21"/>
    <w:rsid w:val="00D47E1B"/>
    <w:rsid w:val="00D5669F"/>
    <w:rsid w:val="00D85275"/>
    <w:rsid w:val="00D921C6"/>
    <w:rsid w:val="00DA264D"/>
    <w:rsid w:val="00DB0C2F"/>
    <w:rsid w:val="00DB4A8C"/>
    <w:rsid w:val="00DF3D2C"/>
    <w:rsid w:val="00E2451A"/>
    <w:rsid w:val="00E550C3"/>
    <w:rsid w:val="00E81FFB"/>
    <w:rsid w:val="00E90566"/>
    <w:rsid w:val="00EA772B"/>
    <w:rsid w:val="00EB278D"/>
    <w:rsid w:val="00EC2EEF"/>
    <w:rsid w:val="00EC4116"/>
    <w:rsid w:val="00ED31C6"/>
    <w:rsid w:val="00ED35DF"/>
    <w:rsid w:val="00EE3942"/>
    <w:rsid w:val="00EF5F60"/>
    <w:rsid w:val="00EF6511"/>
    <w:rsid w:val="00F40264"/>
    <w:rsid w:val="00F508F8"/>
    <w:rsid w:val="00F70A4D"/>
    <w:rsid w:val="00FD59A0"/>
    <w:rsid w:val="00FD5C17"/>
    <w:rsid w:val="00FD7196"/>
    <w:rsid w:val="00FE17D2"/>
    <w:rsid w:val="00FE5C69"/>
    <w:rsid w:val="00FF1E7B"/>
    <w:rsid w:val="046C2DE1"/>
    <w:rsid w:val="06F77628"/>
    <w:rsid w:val="071C06D1"/>
    <w:rsid w:val="15E75CB5"/>
    <w:rsid w:val="211A2BE1"/>
    <w:rsid w:val="21B475C3"/>
    <w:rsid w:val="288A7539"/>
    <w:rsid w:val="2A3D3C32"/>
    <w:rsid w:val="2A4D6717"/>
    <w:rsid w:val="2BA61CA6"/>
    <w:rsid w:val="3E843D2C"/>
    <w:rsid w:val="407619F9"/>
    <w:rsid w:val="4A5A67EF"/>
    <w:rsid w:val="4CF15431"/>
    <w:rsid w:val="4D554DF4"/>
    <w:rsid w:val="513B6EFA"/>
    <w:rsid w:val="5A11306E"/>
    <w:rsid w:val="6B5B2F7A"/>
    <w:rsid w:val="6CE60975"/>
    <w:rsid w:val="6E59235E"/>
    <w:rsid w:val="719D0BEE"/>
    <w:rsid w:val="7C9A16CE"/>
    <w:rsid w:val="7E584DF4"/>
    <w:rsid w:val="7EDB6D8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6"/>
    <w:semiHidden/>
    <w:unhideWhenUsed/>
    <w:qFormat/>
    <w:uiPriority w:val="99"/>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等线 Light" w:hAnsi="等线 Light"/>
      <w:b/>
      <w:bCs/>
      <w:kern w:val="28"/>
      <w:sz w:val="32"/>
      <w:szCs w:val="32"/>
    </w:rPr>
  </w:style>
  <w:style w:type="paragraph" w:styleId="6">
    <w:name w:val="Title"/>
    <w:basedOn w:val="1"/>
    <w:next w:val="1"/>
    <w:link w:val="11"/>
    <w:qFormat/>
    <w:uiPriority w:val="99"/>
    <w:pPr>
      <w:spacing w:before="240" w:after="60"/>
      <w:jc w:val="center"/>
      <w:outlineLvl w:val="0"/>
    </w:pPr>
    <w:rPr>
      <w:rFonts w:ascii="等线 Light" w:hAnsi="等线 Light"/>
      <w:b/>
      <w:bCs/>
      <w:sz w:val="32"/>
      <w:szCs w:val="32"/>
    </w:rPr>
  </w:style>
  <w:style w:type="character" w:styleId="9">
    <w:name w:val="Emphasis"/>
    <w:basedOn w:val="8"/>
    <w:qFormat/>
    <w:uiPriority w:val="99"/>
    <w:rPr>
      <w:rFonts w:ascii="Times New Roman" w:hAnsi="Times New Roman" w:eastAsia="宋体" w:cs="Times New Roman"/>
      <w:i/>
    </w:rPr>
  </w:style>
  <w:style w:type="character" w:customStyle="1" w:styleId="10">
    <w:name w:val="标题 1 Char"/>
    <w:basedOn w:val="8"/>
    <w:link w:val="2"/>
    <w:qFormat/>
    <w:locked/>
    <w:uiPriority w:val="99"/>
    <w:rPr>
      <w:rFonts w:cs="Times New Roman"/>
      <w:b/>
      <w:kern w:val="44"/>
      <w:sz w:val="24"/>
      <w:szCs w:val="24"/>
    </w:rPr>
  </w:style>
  <w:style w:type="character" w:customStyle="1" w:styleId="11">
    <w:name w:val="标题 Char"/>
    <w:basedOn w:val="8"/>
    <w:link w:val="6"/>
    <w:qFormat/>
    <w:locked/>
    <w:uiPriority w:val="99"/>
    <w:rPr>
      <w:rFonts w:ascii="等线 Light" w:eastAsia="等线 Light" w:cs="Times New Roman"/>
      <w:b/>
      <w:bCs/>
      <w:kern w:val="2"/>
      <w:sz w:val="32"/>
      <w:szCs w:val="32"/>
    </w:rPr>
  </w:style>
  <w:style w:type="character" w:customStyle="1" w:styleId="12">
    <w:name w:val="标题 字符"/>
    <w:qFormat/>
    <w:uiPriority w:val="99"/>
    <w:rPr>
      <w:rFonts w:ascii="等线 Light" w:hAnsi="等线 Light" w:eastAsia="宋体"/>
      <w:b/>
      <w:kern w:val="2"/>
      <w:sz w:val="32"/>
    </w:rPr>
  </w:style>
  <w:style w:type="character" w:customStyle="1" w:styleId="13">
    <w:name w:val="副标题 Char"/>
    <w:basedOn w:val="8"/>
    <w:link w:val="5"/>
    <w:qFormat/>
    <w:locked/>
    <w:uiPriority w:val="99"/>
    <w:rPr>
      <w:rFonts w:ascii="等线 Light" w:eastAsia="等线 Light" w:cs="Times New Roman"/>
      <w:b/>
      <w:bCs/>
      <w:kern w:val="28"/>
      <w:sz w:val="32"/>
      <w:szCs w:val="32"/>
    </w:rPr>
  </w:style>
  <w:style w:type="character" w:customStyle="1" w:styleId="14">
    <w:name w:val="副标题 字符"/>
    <w:qFormat/>
    <w:uiPriority w:val="99"/>
    <w:rPr>
      <w:rFonts w:ascii="等线 Light" w:hAnsi="等线 Light" w:eastAsia="宋体"/>
      <w:b/>
      <w:kern w:val="28"/>
      <w:sz w:val="32"/>
    </w:rPr>
  </w:style>
  <w:style w:type="character" w:customStyle="1" w:styleId="15">
    <w:name w:val="页眉 Char"/>
    <w:basedOn w:val="8"/>
    <w:link w:val="4"/>
    <w:semiHidden/>
    <w:qFormat/>
    <w:uiPriority w:val="99"/>
    <w:rPr>
      <w:kern w:val="2"/>
      <w:sz w:val="18"/>
      <w:szCs w:val="18"/>
    </w:rPr>
  </w:style>
  <w:style w:type="character" w:customStyle="1" w:styleId="16">
    <w:name w:val="页脚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FC157-BB75-4777-A989-9C46348CC2AC}">
  <ds:schemaRefs/>
</ds:datastoreItem>
</file>

<file path=docProps/app.xml><?xml version="1.0" encoding="utf-8"?>
<Properties xmlns="http://schemas.openxmlformats.org/officeDocument/2006/extended-properties" xmlns:vt="http://schemas.openxmlformats.org/officeDocument/2006/docPropsVTypes">
  <Template>Normal</Template>
  <Pages>2</Pages>
  <Words>220</Words>
  <Characters>1260</Characters>
  <Lines>10</Lines>
  <Paragraphs>2</Paragraphs>
  <TotalTime>24</TotalTime>
  <ScaleCrop>false</ScaleCrop>
  <LinksUpToDate>false</LinksUpToDate>
  <CharactersWithSpaces>1478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2019-05-21T06:49:00Z</dcterms:created>
  <dc:creator>Administrator</dc:creator>
  <cp:lastModifiedBy>Administrator</cp:lastModifiedBy>
  <cp:lastPrinted>2024-04-24T03:04:00Z</cp:lastPrinted>
  <dcterms:modified xsi:type="dcterms:W3CDTF">2024-08-27T02:00:32Z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