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FC6A14">
      <w:pPr>
        <w:spacing w:before="0" w:beforeAutospacing="0" w:after="1" w:afterAutospacing="0"/>
        <w:jc w:val="center"/>
      </w:pPr>
      <w:r>
        <w:rPr>
          <w:rStyle w:val="12"/>
          <w:rFonts w:ascii="宋体" w:hAnsi="宋体" w:eastAsia="宋体" w:cs="宋体"/>
          <w:color w:val="000000"/>
          <w:sz w:val="48"/>
          <w:szCs w:val="48"/>
        </w:rPr>
        <w:t>湘潭生物机电学校2025年部门预算公开说明</w:t>
      </w:r>
      <w:r>
        <w:rPr>
          <w:color w:val="000000"/>
        </w:rPr>
        <w:t xml:space="preserve"> </w:t>
      </w:r>
    </w:p>
    <w:p w14:paraId="2429E1BA">
      <w:pPr>
        <w:spacing w:before="0" w:beforeAutospacing="0" w:after="1" w:afterAutospacing="0"/>
        <w:jc w:val="center"/>
      </w:pPr>
      <w:r>
        <w:rPr>
          <w:rFonts w:ascii="宋体" w:hAnsi="宋体" w:eastAsia="宋体" w:cs="宋体"/>
          <w:color w:val="000000"/>
          <w:sz w:val="32"/>
          <w:szCs w:val="32"/>
        </w:rPr>
        <w:t> </w:t>
      </w:r>
      <w:r>
        <w:rPr>
          <w:color w:val="000000"/>
        </w:rPr>
        <w:t xml:space="preserve"> </w:t>
      </w:r>
    </w:p>
    <w:p w14:paraId="145D805A">
      <w:pPr>
        <w:spacing w:before="0" w:beforeAutospacing="0" w:after="1" w:afterAutospacing="0"/>
        <w:jc w:val="center"/>
      </w:pPr>
      <w:r>
        <w:rPr>
          <w:rStyle w:val="12"/>
          <w:rFonts w:ascii="宋体" w:hAnsi="宋体" w:eastAsia="宋体" w:cs="宋体"/>
          <w:color w:val="000000"/>
          <w:sz w:val="36"/>
          <w:szCs w:val="36"/>
        </w:rPr>
        <w:t>目 录</w:t>
      </w:r>
      <w:r>
        <w:rPr>
          <w:color w:val="000000"/>
        </w:rPr>
        <w:t xml:space="preserve"> </w:t>
      </w:r>
    </w:p>
    <w:p w14:paraId="5659368D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第一部分 2025年部门预算说明</w:t>
      </w:r>
      <w:r>
        <w:rPr>
          <w:color w:val="000000"/>
        </w:rPr>
        <w:t xml:space="preserve"> </w:t>
      </w:r>
    </w:p>
    <w:p w14:paraId="1797D43B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一、部门基本概况</w:t>
      </w:r>
      <w:r>
        <w:rPr>
          <w:color w:val="000000"/>
        </w:rPr>
        <w:t xml:space="preserve"> </w:t>
      </w:r>
    </w:p>
    <w:p w14:paraId="5940FDF0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（一）职能职责</w:t>
      </w:r>
      <w:r>
        <w:rPr>
          <w:color w:val="000000"/>
        </w:rPr>
        <w:t xml:space="preserve"> </w:t>
      </w:r>
    </w:p>
    <w:p w14:paraId="599930AE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（二）机构设置</w:t>
      </w:r>
      <w:r>
        <w:rPr>
          <w:color w:val="000000"/>
        </w:rPr>
        <w:t xml:space="preserve"> </w:t>
      </w:r>
    </w:p>
    <w:p w14:paraId="3A7A2761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二、部门预算单位构成</w:t>
      </w:r>
      <w:r>
        <w:rPr>
          <w:color w:val="000000"/>
        </w:rPr>
        <w:t xml:space="preserve"> </w:t>
      </w:r>
    </w:p>
    <w:p w14:paraId="37B5BB8C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三、部门收支总体情况</w:t>
      </w:r>
      <w:r>
        <w:rPr>
          <w:color w:val="000000"/>
        </w:rPr>
        <w:t xml:space="preserve"> </w:t>
      </w:r>
    </w:p>
    <w:p w14:paraId="4D1A7180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（一）收入预算</w:t>
      </w:r>
      <w:r>
        <w:rPr>
          <w:color w:val="000000"/>
        </w:rPr>
        <w:t xml:space="preserve"> </w:t>
      </w:r>
    </w:p>
    <w:p w14:paraId="365ABD08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（二）支出预算</w:t>
      </w:r>
      <w:r>
        <w:rPr>
          <w:color w:val="000000"/>
        </w:rPr>
        <w:t xml:space="preserve"> </w:t>
      </w:r>
    </w:p>
    <w:p w14:paraId="772B5239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四、一般公共预算拨款支出</w:t>
      </w:r>
      <w:r>
        <w:rPr>
          <w:color w:val="000000"/>
        </w:rPr>
        <w:t xml:space="preserve"> </w:t>
      </w:r>
    </w:p>
    <w:p w14:paraId="37508E3A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（一）基本支出</w:t>
      </w:r>
      <w:r>
        <w:rPr>
          <w:color w:val="000000"/>
        </w:rPr>
        <w:t xml:space="preserve"> </w:t>
      </w:r>
    </w:p>
    <w:p w14:paraId="4D5B6086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（二）项目支出</w:t>
      </w:r>
      <w:r>
        <w:rPr>
          <w:color w:val="000000"/>
        </w:rPr>
        <w:t xml:space="preserve"> </w:t>
      </w:r>
    </w:p>
    <w:p w14:paraId="37D148BF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五、政府性基金预算支出</w:t>
      </w:r>
      <w:r>
        <w:rPr>
          <w:color w:val="000000"/>
        </w:rPr>
        <w:t xml:space="preserve"> </w:t>
      </w:r>
    </w:p>
    <w:p w14:paraId="507CB2E7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六、其他重要事项的情况说明</w:t>
      </w:r>
      <w:r>
        <w:rPr>
          <w:color w:val="000000"/>
        </w:rPr>
        <w:t xml:space="preserve"> </w:t>
      </w:r>
    </w:p>
    <w:p w14:paraId="4D1E3C2C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（一）机关运行经费</w:t>
      </w:r>
      <w:r>
        <w:rPr>
          <w:color w:val="000000"/>
        </w:rPr>
        <w:t xml:space="preserve"> </w:t>
      </w:r>
    </w:p>
    <w:p w14:paraId="3319A1F0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（二）“三公”经费预算</w:t>
      </w:r>
      <w:r>
        <w:rPr>
          <w:color w:val="000000"/>
        </w:rPr>
        <w:t xml:space="preserve"> </w:t>
      </w:r>
    </w:p>
    <w:p w14:paraId="67CFE4DA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（三）一般性支出情况</w:t>
      </w:r>
      <w:r>
        <w:rPr>
          <w:color w:val="000000"/>
        </w:rPr>
        <w:t xml:space="preserve"> </w:t>
      </w:r>
    </w:p>
    <w:p w14:paraId="588A9C19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（四）政府采购情况</w:t>
      </w:r>
      <w:r>
        <w:rPr>
          <w:color w:val="000000"/>
        </w:rPr>
        <w:t xml:space="preserve"> </w:t>
      </w:r>
    </w:p>
    <w:p w14:paraId="04B02EF8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（五）国有资产占用使用及新增资产配置情况</w:t>
      </w:r>
      <w:r>
        <w:rPr>
          <w:color w:val="000000"/>
        </w:rPr>
        <w:t xml:space="preserve"> </w:t>
      </w:r>
    </w:p>
    <w:p w14:paraId="1FF37504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（六）部门整体支出、单位项目支出、重点（专项）项目支出预算绩效目标情况说明</w:t>
      </w:r>
      <w:r>
        <w:rPr>
          <w:color w:val="000000"/>
        </w:rPr>
        <w:t xml:space="preserve"> </w:t>
      </w:r>
    </w:p>
    <w:p w14:paraId="26E34C60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七、名词解释</w:t>
      </w:r>
      <w:r>
        <w:rPr>
          <w:color w:val="000000"/>
        </w:rPr>
        <w:t xml:space="preserve"> </w:t>
      </w:r>
    </w:p>
    <w:p w14:paraId="09292744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第二部分</w:t>
      </w:r>
      <w:r>
        <w:rPr>
          <w:b/>
          <w:bCs/>
          <w:color w:val="000000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2025年部门预算表</w:t>
      </w:r>
      <w:r>
        <w:rPr>
          <w:color w:val="000000"/>
        </w:rPr>
        <w:t xml:space="preserve"> </w:t>
      </w:r>
    </w:p>
    <w:p w14:paraId="0CD37C50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1、收支总表</w:t>
      </w:r>
      <w:r>
        <w:rPr>
          <w:color w:val="000000"/>
        </w:rPr>
        <w:t xml:space="preserve"> </w:t>
      </w:r>
    </w:p>
    <w:p w14:paraId="426F16F3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2、收入总表</w:t>
      </w:r>
      <w:r>
        <w:rPr>
          <w:color w:val="000000"/>
        </w:rPr>
        <w:t xml:space="preserve"> </w:t>
      </w:r>
    </w:p>
    <w:p w14:paraId="15F965C5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3、支出总表</w:t>
      </w:r>
      <w:r>
        <w:rPr>
          <w:color w:val="000000"/>
        </w:rPr>
        <w:t xml:space="preserve"> </w:t>
      </w:r>
    </w:p>
    <w:p w14:paraId="3B5887D2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4、支出预算分类汇总表（按政府预算经济分类）</w:t>
      </w:r>
      <w:r>
        <w:rPr>
          <w:color w:val="000000"/>
        </w:rPr>
        <w:t xml:space="preserve"> </w:t>
      </w:r>
    </w:p>
    <w:p w14:paraId="0FDDC92E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5、支出预算分类汇总表（按部门预算经济分类）</w:t>
      </w:r>
      <w:r>
        <w:rPr>
          <w:color w:val="000000"/>
        </w:rPr>
        <w:t xml:space="preserve"> </w:t>
      </w:r>
    </w:p>
    <w:p w14:paraId="7E3D46ED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6、财政拨款收支总表</w:t>
      </w:r>
      <w:r>
        <w:rPr>
          <w:color w:val="000000"/>
        </w:rPr>
        <w:t xml:space="preserve"> </w:t>
      </w:r>
    </w:p>
    <w:p w14:paraId="01A511F2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7、一般公共预算支出表</w:t>
      </w:r>
      <w:r>
        <w:rPr>
          <w:color w:val="000000"/>
        </w:rPr>
        <w:t xml:space="preserve"> </w:t>
      </w:r>
    </w:p>
    <w:p w14:paraId="7DAE6C57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8、一般公共预算基本支出表</w:t>
      </w:r>
    </w:p>
    <w:p w14:paraId="6E5AAF07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color w:val="000000"/>
        </w:rPr>
        <w:t xml:space="preserve"> </w:t>
      </w:r>
    </w:p>
    <w:p w14:paraId="15ACC493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color w:val="000000"/>
        </w:rPr>
        <w:t xml:space="preserve"> </w:t>
      </w:r>
    </w:p>
    <w:p w14:paraId="6D19C169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color w:val="000000"/>
        </w:rPr>
        <w:t xml:space="preserve"> </w:t>
      </w:r>
    </w:p>
    <w:p w14:paraId="4CBD8C66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color w:val="000000"/>
        </w:rPr>
        <w:t xml:space="preserve"> </w:t>
      </w:r>
    </w:p>
    <w:p w14:paraId="01BAF5D2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color w:val="000000"/>
        </w:rPr>
        <w:t xml:space="preserve"> </w:t>
      </w:r>
    </w:p>
    <w:p w14:paraId="3FDC6C51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color w:val="000000"/>
        </w:rPr>
        <w:t xml:space="preserve"> </w:t>
      </w:r>
    </w:p>
    <w:p w14:paraId="0D74F41F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15、一般公共预算“三公”经费支出表</w:t>
      </w:r>
      <w:r>
        <w:rPr>
          <w:color w:val="000000"/>
        </w:rPr>
        <w:t xml:space="preserve"> </w:t>
      </w:r>
    </w:p>
    <w:p w14:paraId="49E7770D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16、政府性基金预算支出表</w:t>
      </w:r>
      <w:r>
        <w:rPr>
          <w:color w:val="000000"/>
        </w:rPr>
        <w:t xml:space="preserve"> </w:t>
      </w:r>
    </w:p>
    <w:p w14:paraId="441E1D42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17、政府性基金预算支出分类汇总表（按政府预算经济分类）</w:t>
      </w:r>
      <w:r>
        <w:rPr>
          <w:color w:val="000000"/>
        </w:rPr>
        <w:t xml:space="preserve"> </w:t>
      </w:r>
    </w:p>
    <w:p w14:paraId="1242B66E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18、政府性基金预算支出分类汇总表（按部门预算经济分类）</w:t>
      </w:r>
      <w:r>
        <w:rPr>
          <w:color w:val="000000"/>
        </w:rPr>
        <w:t xml:space="preserve"> </w:t>
      </w:r>
    </w:p>
    <w:p w14:paraId="1AAB97CE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19、国有资本经营预算表</w:t>
      </w:r>
      <w:r>
        <w:rPr>
          <w:color w:val="000000"/>
        </w:rPr>
        <w:t xml:space="preserve"> </w:t>
      </w:r>
    </w:p>
    <w:p w14:paraId="75B047AA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20、财政专户管理资金预算支出表</w:t>
      </w:r>
      <w:r>
        <w:rPr>
          <w:color w:val="000000"/>
        </w:rPr>
        <w:t xml:space="preserve"> </w:t>
      </w:r>
    </w:p>
    <w:p w14:paraId="57761C79">
      <w:pPr>
        <w:spacing w:before="0" w:beforeAutospacing="0" w:after="1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21、专项资金预算汇总表</w:t>
      </w:r>
      <w:r>
        <w:rPr>
          <w:color w:val="000000"/>
        </w:rPr>
        <w:t xml:space="preserve"> </w:t>
      </w:r>
    </w:p>
    <w:p w14:paraId="16921B37">
      <w:pPr>
        <w:spacing w:before="0" w:beforeAutospacing="0" w:after="1" w:afterAutospacing="0"/>
        <w:ind w:left="0" w:firstLine="643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注：以上部门预算报表中，空表表示本部门无相关收支情况。</w:t>
      </w:r>
      <w:r>
        <w:rPr>
          <w:color w:val="000000"/>
        </w:rPr>
        <w:t xml:space="preserve"> </w:t>
      </w:r>
    </w:p>
    <w:p w14:paraId="290EE147">
      <w:pPr>
        <w:pStyle w:val="9"/>
        <w:keepNext w:val="0"/>
        <w:keepLines w:val="0"/>
        <w:widowControl/>
        <w:suppressLineNumbers w:val="0"/>
        <w:spacing w:before="0" w:beforeAutospacing="0" w:after="1" w:afterAutospacing="0"/>
      </w:pPr>
    </w:p>
    <w:p w14:paraId="7AE6C3AD">
      <w:pPr>
        <w:spacing w:before="0" w:beforeAutospacing="0" w:after="1" w:afterAutospacing="0"/>
      </w:pPr>
      <w:r>
        <w:rPr>
          <w:rFonts w:ascii="宋体" w:hAnsi="宋体" w:eastAsia="宋体" w:cs="宋体"/>
          <w:color w:val="000000"/>
          <w:sz w:val="32"/>
          <w:szCs w:val="32"/>
        </w:rPr>
        <w:t> </w:t>
      </w:r>
      <w:r>
        <w:rPr>
          <w:color w:val="000000"/>
        </w:rPr>
        <w:t xml:space="preserve"> </w:t>
      </w:r>
    </w:p>
    <w:p w14:paraId="089B5C73">
      <w:pPr>
        <w:spacing w:before="0" w:beforeAutospacing="0" w:after="1" w:afterAutospacing="0"/>
      </w:pPr>
    </w:p>
    <w:p w14:paraId="1C1F38D8">
      <w:pPr>
        <w:spacing w:before="0" w:beforeAutospacing="0" w:after="1" w:afterAutospacing="0"/>
        <w:jc w:val="center"/>
      </w:pPr>
      <w:r>
        <w:rPr>
          <w:rStyle w:val="12"/>
          <w:rFonts w:ascii="宋体" w:hAnsi="宋体" w:eastAsia="宋体" w:cs="宋体"/>
          <w:color w:val="000000"/>
          <w:sz w:val="40"/>
          <w:szCs w:val="40"/>
        </w:rPr>
        <w:t>第一部分 2025年部门预算说明</w:t>
      </w:r>
      <w:r>
        <w:rPr>
          <w:color w:val="000000"/>
        </w:rPr>
        <w:t xml:space="preserve"> </w:t>
      </w:r>
    </w:p>
    <w:p w14:paraId="10F5C190">
      <w:pPr>
        <w:spacing w:before="0" w:beforeAutospacing="0" w:after="1" w:afterAutospacing="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 </w:t>
      </w:r>
      <w:r>
        <w:rPr>
          <w:color w:val="000000"/>
        </w:rPr>
        <w:t xml:space="preserve"> </w:t>
      </w:r>
    </w:p>
    <w:p w14:paraId="6A37593B">
      <w:pPr>
        <w:spacing w:before="0" w:beforeAutospacing="0" w:after="1" w:afterAutospacing="0"/>
        <w:ind w:left="0" w:firstLine="627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一、部门基本概况</w:t>
      </w:r>
      <w:r>
        <w:rPr>
          <w:color w:val="000000"/>
        </w:rPr>
        <w:t xml:space="preserve"> </w:t>
      </w:r>
    </w:p>
    <w:p w14:paraId="2BDCCCC4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（一）职能职责</w:t>
      </w:r>
      <w:r>
        <w:rPr>
          <w:color w:val="000000"/>
        </w:rPr>
        <w:t xml:space="preserve"> </w:t>
      </w:r>
    </w:p>
    <w:p w14:paraId="334630FE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1、贯彻落实党的职业教育方针和国家的职业教育相关的法律法规。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73039F9D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2、负责对按照有关部门职业教育招生规定录取的学生，进行思想政治教育和职业道德教育，传授职业知识，培养职业技能，进行职业指导，全面提高学生的素质。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1961B833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3、受有关部门的委托，承担有关培训任务。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62E4F69D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4、承担教育行政主管部门交办的其他事项。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07302F04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（二）机构设置</w:t>
      </w:r>
      <w:r>
        <w:rPr>
          <w:color w:val="000000"/>
        </w:rPr>
        <w:t xml:space="preserve"> </w:t>
      </w:r>
    </w:p>
    <w:p w14:paraId="47D8B460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湘潭生物机电学校内设机构包括：湘潭生物机电学校共有编制数185人，实有人数240人，其中在职139人，退休101人。内设机构13个，分别为：办公室、人事科、教务科、学生科（团委）、财务科、后勤科、招生就业办、培训科、实训科、安全科、教科研所、纪检监察室和工会。</w:t>
      </w:r>
      <w:r>
        <w:rPr>
          <w:color w:val="000000"/>
        </w:rPr>
        <w:t xml:space="preserve"> </w:t>
      </w:r>
    </w:p>
    <w:p w14:paraId="452452F8">
      <w:pPr>
        <w:spacing w:before="0" w:beforeAutospacing="0" w:after="1" w:afterAutospacing="0"/>
        <w:ind w:left="0" w:firstLine="627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二、部门预算单位构成</w:t>
      </w:r>
      <w:r>
        <w:rPr>
          <w:color w:val="000000"/>
        </w:rPr>
        <w:t xml:space="preserve"> </w:t>
      </w:r>
    </w:p>
    <w:p w14:paraId="5431962D">
      <w:pPr>
        <w:spacing w:before="0" w:beforeAutospacing="0" w:after="1" w:afterAutospacing="0"/>
        <w:ind w:left="0" w:firstLine="627"/>
      </w:pPr>
      <w:r>
        <w:rPr>
          <w:rFonts w:ascii="宋体" w:hAnsi="宋体" w:eastAsia="宋体" w:cs="宋体"/>
          <w:color w:val="000000"/>
          <w:sz w:val="32"/>
          <w:szCs w:val="32"/>
        </w:rPr>
        <w:t>湘潭生物机电学校只有本级，没有其他预算单位，纳入编制范围的预算单位仅含湘潭生物机电学校。</w:t>
      </w:r>
      <w:r>
        <w:rPr>
          <w:color w:val="000000"/>
        </w:rPr>
        <w:t xml:space="preserve"> </w:t>
      </w:r>
    </w:p>
    <w:p w14:paraId="33AF2298">
      <w:pPr>
        <w:spacing w:before="0" w:beforeAutospacing="0" w:after="1" w:afterAutospacing="0"/>
        <w:ind w:left="0" w:firstLine="627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三、部门收支总体情况</w:t>
      </w:r>
      <w:r>
        <w:rPr>
          <w:color w:val="000000"/>
        </w:rPr>
        <w:t xml:space="preserve"> </w:t>
      </w:r>
    </w:p>
    <w:p w14:paraId="017BFF3E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（一）收入预算：</w:t>
      </w:r>
      <w:r>
        <w:rPr>
          <w:rFonts w:ascii="宋体" w:hAnsi="宋体" w:eastAsia="宋体" w:cs="宋体"/>
          <w:color w:val="000000"/>
          <w:sz w:val="32"/>
          <w:szCs w:val="32"/>
        </w:rPr>
        <w:t>包括一般公共预算、政府性基金、国有资本经营预算等财政拨款收入，以及经营收入、事业收入等单位资金。2025年本部门收入预算2,609.86万元，其中：一般公共预算拨款2,449.86万元，（其中：纳入一般公共预算管理的非税收入拨款50万元），政府性基金预算拨款0万元，国有资本经营预算拨款0万元，财政专户管理资金160万元，其他收入0万元。收入较去年减少73.06万元，主要原因是职工及学生人数均减少，导致人员经费及生均公用经费减少。</w:t>
      </w:r>
      <w:r>
        <w:rPr>
          <w:color w:val="000000"/>
        </w:rPr>
        <w:t xml:space="preserve"> </w:t>
      </w:r>
    </w:p>
    <w:p w14:paraId="4840BD0D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（二）支出预算：</w:t>
      </w:r>
      <w:r>
        <w:rPr>
          <w:rFonts w:ascii="宋体" w:hAnsi="宋体" w:eastAsia="宋体" w:cs="宋体"/>
          <w:color w:val="000000"/>
          <w:sz w:val="32"/>
          <w:szCs w:val="32"/>
        </w:rPr>
        <w:t>2025年本部门支出预算2,609.86万元，其中：教育支出2,609.86万元。支出较去年减少73.06万元，主要原因是职工及学生人数减少，导致人员经费和生均公用经费减少。</w:t>
      </w:r>
      <w:r>
        <w:rPr>
          <w:color w:val="000000"/>
        </w:rPr>
        <w:t xml:space="preserve"> </w:t>
      </w:r>
    </w:p>
    <w:p w14:paraId="3193F738">
      <w:pPr>
        <w:spacing w:before="0" w:beforeAutospacing="0" w:after="1" w:afterAutospacing="0"/>
        <w:ind w:left="0" w:firstLine="660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四、一般公共预算拨款支出</w:t>
      </w:r>
      <w:r>
        <w:rPr>
          <w:color w:val="000000"/>
        </w:rPr>
        <w:t xml:space="preserve"> </w:t>
      </w:r>
    </w:p>
    <w:p w14:paraId="5643CCC1">
      <w:pPr>
        <w:spacing w:before="0" w:beforeAutospacing="0" w:after="1" w:afterAutospacing="0"/>
        <w:ind w:left="0" w:firstLine="660"/>
      </w:pPr>
      <w:r>
        <w:rPr>
          <w:rFonts w:ascii="宋体" w:hAnsi="宋体" w:eastAsia="宋体" w:cs="宋体"/>
          <w:color w:val="000000"/>
          <w:sz w:val="32"/>
          <w:szCs w:val="32"/>
        </w:rPr>
        <w:t>2025年本部门一般公共预算拨款支出预算2,449.86万元，其中：教育支出2,449.86万元，占100%。具体安排情况如下：</w:t>
      </w:r>
      <w:r>
        <w:rPr>
          <w:color w:val="000000"/>
        </w:rPr>
        <w:t xml:space="preserve"> </w:t>
      </w:r>
    </w:p>
    <w:p w14:paraId="00B70461">
      <w:pPr>
        <w:spacing w:before="0" w:beforeAutospacing="0" w:after="1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（一）基本支出：</w:t>
      </w:r>
      <w:r>
        <w:rPr>
          <w:rFonts w:ascii="宋体" w:hAnsi="宋体" w:eastAsia="宋体" w:cs="宋体"/>
          <w:color w:val="000000"/>
          <w:sz w:val="32"/>
          <w:szCs w:val="32"/>
        </w:rPr>
        <w:t>2025年本部门基本支出预算2,399.86万元，主要是为保障部门正常运转、完成日常工作任务而发生的各项支出，包括用于基本工资、津贴补贴等人员经费以及办公费、印刷费、水电费、办公设备购置等公用经费。</w:t>
      </w:r>
      <w:r>
        <w:rPr>
          <w:color w:val="000000"/>
        </w:rPr>
        <w:t xml:space="preserve"> </w:t>
      </w:r>
    </w:p>
    <w:p w14:paraId="4E62B0FC">
      <w:pPr>
        <w:spacing w:before="0" w:beforeAutospacing="0" w:after="1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（二）项目支出：</w:t>
      </w:r>
      <w:r>
        <w:rPr>
          <w:rFonts w:ascii="宋体" w:hAnsi="宋体" w:eastAsia="宋体" w:cs="宋体"/>
          <w:color w:val="000000"/>
          <w:sz w:val="32"/>
          <w:szCs w:val="32"/>
        </w:rPr>
        <w:t>2025年本部门项目支出预算50万元，主要是部门为完成特定行政工作任务或事业发展目标而发生的支出，包括有关事业发展专项、专项业务费、基本建设支出等，其中：中等职业教育支出50万元，主要用于校舍维修等方面。</w:t>
      </w:r>
      <w:r>
        <w:rPr>
          <w:color w:val="000000"/>
        </w:rPr>
        <w:t xml:space="preserve"> </w:t>
      </w:r>
    </w:p>
    <w:p w14:paraId="53346237">
      <w:pPr>
        <w:spacing w:before="0" w:beforeAutospacing="0" w:after="1" w:afterAutospacing="0"/>
        <w:ind w:left="0" w:firstLine="660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五、政府性基金预算支出</w:t>
      </w:r>
      <w:r>
        <w:rPr>
          <w:color w:val="000000"/>
        </w:rPr>
        <w:t xml:space="preserve"> </w:t>
      </w:r>
    </w:p>
    <w:p w14:paraId="1DCF72E8">
      <w:pPr>
        <w:spacing w:before="0" w:beforeAutospacing="0" w:after="1" w:afterAutospacing="0"/>
        <w:ind w:left="0" w:firstLine="660"/>
      </w:pPr>
      <w:r>
        <w:rPr>
          <w:rFonts w:ascii="宋体" w:hAnsi="宋体" w:eastAsia="宋体" w:cs="宋体"/>
          <w:color w:val="000000"/>
          <w:sz w:val="32"/>
          <w:szCs w:val="32"/>
          <w:shd w:val="clear" w:fill="FFFFFF"/>
        </w:rPr>
        <w:t>2025年本部门无政府性基金安排的支出。</w:t>
      </w:r>
      <w:r>
        <w:rPr>
          <w:color w:val="000000"/>
        </w:rPr>
        <w:t xml:space="preserve"> </w:t>
      </w:r>
    </w:p>
    <w:p w14:paraId="071A7AF8">
      <w:pPr>
        <w:spacing w:before="0" w:beforeAutospacing="0" w:after="1" w:afterAutospacing="0"/>
        <w:ind w:left="0" w:firstLine="660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六、其他重要事项的情况说明</w:t>
      </w:r>
      <w:r>
        <w:rPr>
          <w:color w:val="000000"/>
        </w:rPr>
        <w:t xml:space="preserve"> </w:t>
      </w:r>
    </w:p>
    <w:p w14:paraId="2E2BE3C1">
      <w:pPr>
        <w:spacing w:before="0" w:beforeAutospacing="0" w:after="1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（一）机关运行经费：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2025年本部门未纳入机关运行经费统计范围，无机关运行经费。</w:t>
      </w:r>
      <w:r>
        <w:rPr>
          <w:color w:val="000000"/>
        </w:rPr>
        <w:t xml:space="preserve"> </w:t>
      </w:r>
    </w:p>
    <w:p w14:paraId="01C90574">
      <w:pPr>
        <w:spacing w:before="0" w:beforeAutospacing="0" w:after="1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（二）“三公”经费预算：</w:t>
      </w:r>
      <w:r>
        <w:rPr>
          <w:rFonts w:ascii="宋体" w:hAnsi="宋体" w:eastAsia="宋体" w:cs="宋体"/>
          <w:color w:val="000000"/>
          <w:sz w:val="32"/>
          <w:szCs w:val="32"/>
        </w:rPr>
        <w:t>2025年本部门“三公”经费预算数为7.4万元，其中，公务接待费1万元，公务用车购置及运行费6.4万元（其中，公务用车购置费0万元，公务用车运行费6.4万元），因公出国（境）费0万元。2025年“三公”经费预算较2024年持平，主要原因是我市认真贯彻落实中央八项规定和关于厉行节约的要求，从严审批公务接待，出国（境）事项，全面落实公务用车制度改革，强化预算约束，推进“三公”经费公开，持续不断压缩“三公”经费支出规模。</w:t>
      </w:r>
      <w:r>
        <w:rPr>
          <w:color w:val="000000"/>
        </w:rPr>
        <w:t xml:space="preserve"> </w:t>
      </w:r>
    </w:p>
    <w:p w14:paraId="71FDC11A">
      <w:pPr>
        <w:spacing w:before="0" w:beforeAutospacing="0" w:after="1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（三）一般性支出情况：</w:t>
      </w:r>
      <w:r>
        <w:rPr>
          <w:rFonts w:ascii="宋体" w:hAnsi="宋体" w:eastAsia="宋体" w:cs="宋体"/>
          <w:color w:val="000000"/>
          <w:sz w:val="32"/>
          <w:szCs w:val="32"/>
        </w:rPr>
        <w:t>2025年本部门会议费预算0万元，我单位2025年度无会议费预算支出；培训费预算10万元，拟召开教职工参加各类国、省、市级和校本培训培训，人数138人，内容为国省市教师培训和校本培训；拟举办0场节庆、晚会、论坛、赛事活动，开支0万元，无相关活动计划。</w:t>
      </w:r>
      <w:r>
        <w:rPr>
          <w:color w:val="000000"/>
        </w:rPr>
        <w:t xml:space="preserve"> </w:t>
      </w:r>
    </w:p>
    <w:p w14:paraId="56D322F2">
      <w:pPr>
        <w:spacing w:before="0" w:beforeAutospacing="0" w:after="1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（四）政府采购情况：</w:t>
      </w:r>
      <w:r>
        <w:rPr>
          <w:rFonts w:ascii="宋体" w:hAnsi="宋体" w:eastAsia="宋体" w:cs="宋体"/>
          <w:color w:val="000000"/>
          <w:sz w:val="32"/>
          <w:szCs w:val="32"/>
        </w:rPr>
        <w:t>2025年本部门政府采购预算总额0万元，其中，货物类采购预算0万元；工程类采购预算0万元；服务类采购预算0万元。</w:t>
      </w:r>
      <w:r>
        <w:rPr>
          <w:color w:val="000000"/>
        </w:rPr>
        <w:t xml:space="preserve"> </w:t>
      </w:r>
    </w:p>
    <w:p w14:paraId="77A01F1C">
      <w:pPr>
        <w:spacing w:before="0" w:beforeAutospacing="0" w:after="1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（五）国有资产占用使用及新增资产配置情况：</w:t>
      </w:r>
      <w:r>
        <w:rPr>
          <w:rFonts w:ascii="宋体" w:hAnsi="宋体" w:eastAsia="宋体" w:cs="宋体"/>
          <w:color w:val="000000"/>
          <w:sz w:val="32"/>
          <w:szCs w:val="32"/>
        </w:rPr>
        <w:t>截至2024年12月底，本部门共有公务用车0辆，其中，机要通信用车0辆，应急保障用车0辆，执法执勤用车0辆，专业技术用车0辆，特种专业技术用车0辆，业务用车0辆，其他按照规定配备的公务用车2辆；单位价值50万元以上通用设备3台，单位价值100万元以上专用设备0台。2025年拟新增配置公务用车0辆，其中，机要通信用车0辆，应急保障用车0辆，执法执勤用车0辆，专业技术用车0辆，特种专业技术用车0辆，业务用车0辆，其他按照规定配备的公务用车0辆；新增配备单位价值50万元以上通用设备0台，单位价值100万元以上专用设备0台。</w:t>
      </w:r>
      <w:r>
        <w:rPr>
          <w:color w:val="000000"/>
        </w:rPr>
        <w:t xml:space="preserve"> </w:t>
      </w:r>
    </w:p>
    <w:p w14:paraId="1960DA0E">
      <w:pPr>
        <w:spacing w:before="0" w:beforeAutospacing="0" w:after="1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（六）预算绩效目标说明：</w:t>
      </w:r>
      <w:r>
        <w:rPr>
          <w:rFonts w:ascii="宋体" w:hAnsi="宋体" w:eastAsia="宋体" w:cs="宋体"/>
          <w:color w:val="000000"/>
          <w:sz w:val="32"/>
          <w:szCs w:val="32"/>
        </w:rPr>
        <w:t>本部门所有支出实行绩效目标管理。纳入2025年部门整体支出绩效目标的金额为2,609.86万元，其中，基本支出2,399.86万元，项目支出210万元，具体绩效目标详见报表。</w:t>
      </w:r>
      <w:r>
        <w:rPr>
          <w:color w:val="000000"/>
        </w:rPr>
        <w:t xml:space="preserve"> </w:t>
      </w:r>
    </w:p>
    <w:p w14:paraId="18818159">
      <w:pPr>
        <w:spacing w:before="0" w:beforeAutospacing="0" w:after="1" w:afterAutospacing="0"/>
        <w:ind w:left="0" w:firstLine="660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七、名词解释</w:t>
      </w:r>
      <w:r>
        <w:rPr>
          <w:color w:val="000000"/>
        </w:rPr>
        <w:t xml:space="preserve"> </w:t>
      </w:r>
    </w:p>
    <w:p w14:paraId="168E766F">
      <w:pPr>
        <w:spacing w:before="0" w:beforeAutospacing="0" w:after="1" w:afterAutospacing="0"/>
        <w:ind w:left="0" w:firstLine="660"/>
      </w:pPr>
      <w:r>
        <w:rPr>
          <w:rFonts w:ascii="宋体" w:hAnsi="宋体" w:eastAsia="宋体" w:cs="宋体"/>
          <w:color w:val="000000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>
        <w:rPr>
          <w:color w:val="000000"/>
        </w:rPr>
        <w:t xml:space="preserve"> </w:t>
      </w:r>
    </w:p>
    <w:p w14:paraId="39ED4B45">
      <w:pPr>
        <w:spacing w:before="0" w:beforeAutospacing="0" w:after="1" w:afterAutospacing="0"/>
        <w:ind w:left="0" w:firstLine="660"/>
      </w:pPr>
      <w:r>
        <w:rPr>
          <w:rFonts w:ascii="宋体" w:hAnsi="宋体" w:eastAsia="宋体" w:cs="宋体"/>
          <w:color w:val="000000"/>
          <w:sz w:val="32"/>
          <w:szCs w:val="32"/>
        </w:rPr>
        <w:t>2、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务费等支出。</w:t>
      </w:r>
      <w:r>
        <w:rPr>
          <w:color w:val="000000"/>
        </w:rPr>
        <w:t xml:space="preserve"> </w:t>
      </w:r>
    </w:p>
    <w:p w14:paraId="1AF9730C">
      <w:pPr>
        <w:spacing w:before="0" w:beforeAutospacing="0" w:after="1" w:afterAutospacing="0"/>
        <w:ind w:left="0" w:firstLine="660"/>
      </w:pPr>
    </w:p>
    <w:p w14:paraId="1C088570">
      <w:pPr>
        <w:spacing w:before="0" w:beforeAutospacing="0" w:after="1" w:afterAutospacing="0"/>
        <w:ind w:left="0" w:firstLine="660"/>
      </w:pPr>
    </w:p>
    <w:p w14:paraId="46755495">
      <w:pPr>
        <w:spacing w:before="0" w:beforeAutospacing="0" w:after="1" w:afterAutospacing="0"/>
        <w:jc w:val="center"/>
      </w:pPr>
      <w:r>
        <w:rPr>
          <w:rStyle w:val="12"/>
          <w:rFonts w:ascii="宋体" w:hAnsi="宋体" w:eastAsia="宋体" w:cs="宋体"/>
          <w:color w:val="000000"/>
          <w:sz w:val="40"/>
          <w:szCs w:val="40"/>
        </w:rPr>
        <w:t>第二部分 2025年部门预算表</w:t>
      </w:r>
      <w:r>
        <w:rPr>
          <w:color w:val="000000"/>
        </w:rPr>
        <w:t xml:space="preserve"> </w:t>
      </w:r>
    </w:p>
    <w:p w14:paraId="796F9287">
      <w:pPr>
        <w:spacing w:before="0" w:beforeAutospacing="0" w:after="1" w:afterAutospacing="0"/>
        <w:jc w:val="center"/>
      </w:pPr>
      <w:r>
        <w:rPr>
          <w:rFonts w:ascii="宋体" w:hAnsi="宋体" w:eastAsia="宋体" w:cs="宋体"/>
          <w:sz w:val="36"/>
          <w:szCs w:val="36"/>
        </w:rPr>
        <w:fldChar w:fldCharType="begin"/>
      </w:r>
      <w:r>
        <w:rPr>
          <w:rFonts w:ascii="宋体" w:hAnsi="宋体" w:eastAsia="宋体" w:cs="宋体"/>
          <w:sz w:val="36"/>
          <w:szCs w:val="36"/>
        </w:rPr>
        <w:instrText xml:space="preserve"> HYPERLINK "http://222.243.160.156:9000/portal/home/downloadAttachment?attachGUID=865ef23c887a459d99dbd10ce281a597" \t "_blank" </w:instrText>
      </w:r>
      <w:r>
        <w:rPr>
          <w:rFonts w:ascii="宋体" w:hAnsi="宋体" w:eastAsia="宋体" w:cs="宋体"/>
          <w:sz w:val="36"/>
          <w:szCs w:val="36"/>
        </w:rPr>
        <w:fldChar w:fldCharType="separate"/>
      </w:r>
      <w:r>
        <w:rPr>
          <w:rStyle w:val="13"/>
          <w:rFonts w:ascii="宋体" w:hAnsi="宋体" w:eastAsia="宋体" w:cs="宋体"/>
          <w:sz w:val="36"/>
          <w:szCs w:val="36"/>
        </w:rPr>
        <w:t>2025年湘潭生物机电学校部门预算公开说明.doc</w:t>
      </w:r>
      <w:r>
        <w:rPr>
          <w:rFonts w:ascii="宋体" w:hAnsi="宋体" w:eastAsia="宋体" w:cs="宋体"/>
          <w:sz w:val="36"/>
          <w:szCs w:val="36"/>
        </w:rPr>
        <w:fldChar w:fldCharType="end"/>
      </w:r>
      <w:r>
        <w:rPr>
          <w:rFonts w:ascii="宋体" w:hAnsi="宋体" w:eastAsia="宋体" w:cs="宋体"/>
          <w:color w:val="000000"/>
          <w:sz w:val="36"/>
          <w:szCs w:val="36"/>
        </w:rPr>
        <w:br w:type="textWrapping"/>
      </w:r>
      <w:r>
        <w:rPr>
          <w:rFonts w:ascii="宋体" w:hAnsi="宋体" w:eastAsia="宋体" w:cs="宋体"/>
          <w:sz w:val="36"/>
          <w:szCs w:val="36"/>
        </w:rPr>
        <w:fldChar w:fldCharType="begin"/>
      </w:r>
      <w:r>
        <w:rPr>
          <w:rFonts w:ascii="宋体" w:hAnsi="宋体" w:eastAsia="宋体" w:cs="宋体"/>
          <w:sz w:val="36"/>
          <w:szCs w:val="36"/>
        </w:rPr>
        <w:instrText xml:space="preserve"> HYPERLINK "http://222.243.160.156:9000/portal/home/downloadAttachment?attachGUID=9a9b96ac303445a6a7eb3c18fee2ad13" \t "_blank" </w:instrText>
      </w:r>
      <w:r>
        <w:rPr>
          <w:rFonts w:ascii="宋体" w:hAnsi="宋体" w:eastAsia="宋体" w:cs="宋体"/>
          <w:sz w:val="36"/>
          <w:szCs w:val="36"/>
        </w:rPr>
        <w:fldChar w:fldCharType="separate"/>
      </w:r>
      <w:r>
        <w:rPr>
          <w:rStyle w:val="13"/>
          <w:rFonts w:ascii="宋体" w:hAnsi="宋体" w:eastAsia="宋体" w:cs="宋体"/>
          <w:sz w:val="36"/>
          <w:szCs w:val="36"/>
        </w:rPr>
        <w:t>2025年湘潭生物机电学校部门整体支出和项目支出绩效目标申报表.docx</w:t>
      </w:r>
      <w:r>
        <w:rPr>
          <w:rFonts w:ascii="宋体" w:hAnsi="宋体" w:eastAsia="宋体" w:cs="宋体"/>
          <w:sz w:val="36"/>
          <w:szCs w:val="36"/>
        </w:rPr>
        <w:fldChar w:fldCharType="end"/>
      </w:r>
      <w:r>
        <w:rPr>
          <w:rFonts w:ascii="宋体" w:hAnsi="宋体" w:eastAsia="宋体" w:cs="宋体"/>
          <w:color w:val="000000"/>
          <w:sz w:val="36"/>
          <w:szCs w:val="36"/>
        </w:rPr>
        <w:br w:type="textWrapping"/>
      </w:r>
      <w:r>
        <w:rPr>
          <w:rFonts w:ascii="宋体" w:hAnsi="宋体" w:eastAsia="宋体" w:cs="宋体"/>
          <w:sz w:val="36"/>
          <w:szCs w:val="36"/>
        </w:rPr>
        <w:fldChar w:fldCharType="begin"/>
      </w:r>
      <w:r>
        <w:rPr>
          <w:rFonts w:ascii="宋体" w:hAnsi="宋体" w:eastAsia="宋体" w:cs="宋体"/>
          <w:sz w:val="36"/>
          <w:szCs w:val="36"/>
        </w:rPr>
        <w:instrText xml:space="preserve"> HYPERLINK "http://222.243.160.156:9000/portal/home/downloadAttachment?attachGUID=c3a47cb8901c480ba296021d4944d2c0" \t "_blank" </w:instrText>
      </w:r>
      <w:r>
        <w:rPr>
          <w:rFonts w:ascii="宋体" w:hAnsi="宋体" w:eastAsia="宋体" w:cs="宋体"/>
          <w:sz w:val="36"/>
          <w:szCs w:val="36"/>
        </w:rPr>
        <w:fldChar w:fldCharType="separate"/>
      </w:r>
      <w:r>
        <w:rPr>
          <w:rStyle w:val="13"/>
          <w:rFonts w:ascii="宋体" w:hAnsi="宋体" w:eastAsia="宋体" w:cs="宋体"/>
          <w:sz w:val="36"/>
          <w:szCs w:val="36"/>
        </w:rPr>
        <w:t>2025年湘潭生物机电学校部门预算公开表.xlsx</w:t>
      </w:r>
      <w:r>
        <w:rPr>
          <w:rFonts w:ascii="宋体" w:hAnsi="宋体" w:eastAsia="宋体" w:cs="宋体"/>
          <w:sz w:val="36"/>
          <w:szCs w:val="36"/>
        </w:rPr>
        <w:fldChar w:fldCharType="end"/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6000009F" w:csb1="DFD70000"/>
  </w:font>
  <w:font w:name="新宋体">
    <w:panose1 w:val="02010609030101010101"/>
    <w:charset w:val="86"/>
    <w:family w:val="auto"/>
    <w:pitch w:val="fixed"/>
    <w:sig w:usb0="00000203" w:usb1="288F0000" w:usb2="00000006" w:usb3="00000000" w:csb0="00040001" w:csb1="00000000"/>
  </w:font>
  <w:font w:name="@新宋体">
    <w:panose1 w:val="02010609030101010101"/>
    <w:charset w:val="86"/>
    <w:family w:val="auto"/>
    <w:pitch w:val="fixed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07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paragraph" w:customStyle="1" w:styleId="14">
    <w:name w:val="18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2828</Words>
  <Characters>3039</Characters>
  <TotalTime>0</TotalTime>
  <ScaleCrop>false</ScaleCrop>
  <LinksUpToDate>false</LinksUpToDate>
  <CharactersWithSpaces>3125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2025-01-14T09:02:01Z</dcterms:created>
  <dc:creator>Administrator</dc:creator>
  <cp:lastModifiedBy>Mirojer</cp:lastModifiedBy>
  <dcterms:modified xsi:type="dcterms:W3CDTF">2025-01-14T09:02:13Z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0DD5CCCF2377487CB767059641A64F2D_13</vt:lpwstr>
  </property>
</Properties>
</file>