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0"/>
        <w:gridCol w:w="1245"/>
        <w:gridCol w:w="896"/>
        <w:gridCol w:w="5823"/>
      </w:tblGrid>
      <w:tr w14:paraId="27573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250" w:type="dxa"/>
            <w:vAlign w:val="center"/>
          </w:tcPr>
          <w:p w14:paraId="65996D71">
            <w:pPr>
              <w:tabs>
                <w:tab w:val="left" w:pos="0"/>
              </w:tabs>
              <w:adjustRightInd w:val="0"/>
              <w:snapToGrid w:val="0"/>
              <w:spacing w:line="360" w:lineRule="auto"/>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w:t>
            </w:r>
          </w:p>
        </w:tc>
        <w:tc>
          <w:tcPr>
            <w:tcW w:w="1245" w:type="dxa"/>
            <w:vAlign w:val="center"/>
          </w:tcPr>
          <w:p w14:paraId="30AD3EAC">
            <w:pPr>
              <w:tabs>
                <w:tab w:val="left" w:pos="0"/>
              </w:tabs>
              <w:adjustRightInd w:val="0"/>
              <w:snapToGrid w:val="0"/>
              <w:spacing w:line="360" w:lineRule="auto"/>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评审因素</w:t>
            </w:r>
          </w:p>
        </w:tc>
        <w:tc>
          <w:tcPr>
            <w:tcW w:w="896" w:type="dxa"/>
            <w:vAlign w:val="center"/>
          </w:tcPr>
          <w:p w14:paraId="369741AC">
            <w:pPr>
              <w:tabs>
                <w:tab w:val="left" w:pos="0"/>
              </w:tabs>
              <w:adjustRightInd w:val="0"/>
              <w:snapToGrid w:val="0"/>
              <w:spacing w:line="360" w:lineRule="auto"/>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分值（分）</w:t>
            </w:r>
          </w:p>
        </w:tc>
        <w:tc>
          <w:tcPr>
            <w:tcW w:w="5823" w:type="dxa"/>
            <w:vAlign w:val="center"/>
          </w:tcPr>
          <w:p w14:paraId="3AB5934E">
            <w:pPr>
              <w:tabs>
                <w:tab w:val="left" w:pos="0"/>
              </w:tabs>
              <w:adjustRightInd w:val="0"/>
              <w:snapToGrid w:val="0"/>
              <w:spacing w:line="360" w:lineRule="auto"/>
              <w:ind w:firstLine="422" w:firstLineChars="200"/>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评分标准</w:t>
            </w:r>
          </w:p>
        </w:tc>
      </w:tr>
      <w:tr w14:paraId="1982B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2495" w:type="dxa"/>
            <w:gridSpan w:val="2"/>
            <w:tcBorders>
              <w:top w:val="single" w:color="auto" w:sz="4" w:space="0"/>
              <w:bottom w:val="single" w:color="auto" w:sz="4" w:space="0"/>
            </w:tcBorders>
            <w:vAlign w:val="center"/>
          </w:tcPr>
          <w:p w14:paraId="46ADBC70">
            <w:pPr>
              <w:adjustRightInd w:val="0"/>
              <w:snapToGrid w:val="0"/>
              <w:spacing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磋商报价部分（</w:t>
            </w:r>
            <w:r>
              <w:rPr>
                <w:rFonts w:hint="eastAsia" w:cs="宋体" w:asciiTheme="minorEastAsia" w:hAnsiTheme="minorEastAsia" w:eastAsiaTheme="minorEastAsia"/>
                <w:color w:val="000000"/>
                <w:sz w:val="21"/>
                <w:szCs w:val="21"/>
                <w:lang w:val="en-US" w:eastAsia="zh-CN"/>
              </w:rPr>
              <w:t>60</w:t>
            </w:r>
            <w:r>
              <w:rPr>
                <w:rFonts w:hint="eastAsia" w:cs="宋体" w:asciiTheme="minorEastAsia" w:hAnsiTheme="minorEastAsia" w:eastAsiaTheme="minorEastAsia"/>
                <w:color w:val="000000"/>
                <w:sz w:val="21"/>
                <w:szCs w:val="21"/>
              </w:rPr>
              <w:t>分）</w:t>
            </w:r>
          </w:p>
        </w:tc>
        <w:tc>
          <w:tcPr>
            <w:tcW w:w="896" w:type="dxa"/>
            <w:tcBorders>
              <w:top w:val="single" w:color="auto" w:sz="4" w:space="0"/>
              <w:bottom w:val="single" w:color="auto" w:sz="4" w:space="0"/>
            </w:tcBorders>
            <w:vAlign w:val="center"/>
          </w:tcPr>
          <w:p w14:paraId="09B27877">
            <w:pPr>
              <w:adjustRightInd w:val="0"/>
              <w:snapToGrid w:val="0"/>
              <w:spacing w:line="360" w:lineRule="auto"/>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60</w:t>
            </w:r>
          </w:p>
        </w:tc>
        <w:tc>
          <w:tcPr>
            <w:tcW w:w="5823" w:type="dxa"/>
            <w:tcBorders>
              <w:top w:val="single" w:color="auto" w:sz="4" w:space="0"/>
              <w:bottom w:val="single" w:color="auto" w:sz="4" w:space="0"/>
            </w:tcBorders>
            <w:vAlign w:val="center"/>
          </w:tcPr>
          <w:p w14:paraId="5AE442DC">
            <w:pPr>
              <w:spacing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满足磋商文件要求且最后报价最低的供应商的价格为磋商基准价，其价格分为满分，其他供应商的价格分统一按公式计算：磋商报价得分＝（磋商基准价÷最后磋商报价）×价格分值</w:t>
            </w:r>
          </w:p>
          <w:p w14:paraId="5FD37FAD">
            <w:pPr>
              <w:adjustRightInd w:val="0"/>
              <w:snapToGrid w:val="0"/>
              <w:spacing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磋商小组认为供应商的报价明显低于其他通过符合性审查投标人的报价，有可能影响产品质量或者不能诚信履约的，应要求其在评标现场合理的时间内提供书面说明，必要时提交相关证明材料；供应商不能证明其报价合理性的，磋商小组应当将其作为无效响应处理。</w:t>
            </w:r>
          </w:p>
        </w:tc>
      </w:tr>
      <w:tr w14:paraId="0E517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250" w:type="dxa"/>
            <w:vMerge w:val="restart"/>
            <w:tcBorders>
              <w:top w:val="single" w:color="auto" w:sz="4" w:space="0"/>
            </w:tcBorders>
            <w:vAlign w:val="center"/>
          </w:tcPr>
          <w:p w14:paraId="3C68641E">
            <w:pPr>
              <w:adjustRightInd w:val="0"/>
              <w:snapToGrid w:val="0"/>
              <w:spacing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技术</w:t>
            </w:r>
            <w:r>
              <w:rPr>
                <w:rFonts w:hint="eastAsia" w:cs="宋体" w:asciiTheme="minorEastAsia" w:hAnsiTheme="minorEastAsia" w:eastAsiaTheme="minorEastAsia"/>
                <w:color w:val="000000"/>
                <w:sz w:val="21"/>
                <w:szCs w:val="21"/>
                <w:lang w:val="en-US" w:eastAsia="zh-CN"/>
              </w:rPr>
              <w:t>商务</w:t>
            </w:r>
            <w:r>
              <w:rPr>
                <w:rFonts w:hint="eastAsia" w:cs="宋体" w:asciiTheme="minorEastAsia" w:hAnsiTheme="minorEastAsia" w:eastAsiaTheme="minorEastAsia"/>
                <w:color w:val="000000"/>
                <w:sz w:val="21"/>
                <w:szCs w:val="21"/>
                <w:lang w:eastAsia="zh-CN"/>
              </w:rPr>
              <w:t>部分</w:t>
            </w:r>
            <w:r>
              <w:rPr>
                <w:rFonts w:hint="eastAsia" w:cs="宋体" w:asciiTheme="minorEastAsia" w:hAnsiTheme="minorEastAsia" w:eastAsiaTheme="minorEastAsia"/>
                <w:color w:val="000000"/>
                <w:sz w:val="21"/>
                <w:szCs w:val="21"/>
              </w:rPr>
              <w:t>（</w:t>
            </w:r>
            <w:r>
              <w:rPr>
                <w:rFonts w:hint="eastAsia" w:cs="宋体" w:asciiTheme="minorEastAsia" w:hAnsiTheme="minorEastAsia" w:eastAsiaTheme="minorEastAsia"/>
                <w:color w:val="000000"/>
                <w:sz w:val="21"/>
                <w:szCs w:val="21"/>
                <w:lang w:val="en-US" w:eastAsia="zh-CN"/>
              </w:rPr>
              <w:t>40</w:t>
            </w:r>
            <w:r>
              <w:rPr>
                <w:rFonts w:hint="eastAsia" w:cs="宋体" w:asciiTheme="minorEastAsia" w:hAnsiTheme="minorEastAsia" w:eastAsiaTheme="minorEastAsia"/>
                <w:color w:val="000000"/>
                <w:sz w:val="21"/>
                <w:szCs w:val="21"/>
              </w:rPr>
              <w:t>分）</w:t>
            </w:r>
          </w:p>
        </w:tc>
        <w:tc>
          <w:tcPr>
            <w:tcW w:w="1245" w:type="dxa"/>
            <w:tcBorders>
              <w:top w:val="single" w:color="auto" w:sz="4" w:space="0"/>
            </w:tcBorders>
            <w:vAlign w:val="center"/>
          </w:tcPr>
          <w:p w14:paraId="0B4C9B09">
            <w:pPr>
              <w:adjustRightInd w:val="0"/>
              <w:snapToGrid w:val="0"/>
              <w:spacing w:line="360" w:lineRule="auto"/>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生产制作方案</w:t>
            </w:r>
          </w:p>
        </w:tc>
        <w:tc>
          <w:tcPr>
            <w:tcW w:w="896" w:type="dxa"/>
            <w:tcBorders>
              <w:top w:val="single" w:color="auto" w:sz="4" w:space="0"/>
            </w:tcBorders>
            <w:vAlign w:val="center"/>
          </w:tcPr>
          <w:p w14:paraId="25FEADD7">
            <w:pPr>
              <w:adjustRightInd w:val="0"/>
              <w:snapToGrid w:val="0"/>
              <w:spacing w:line="360" w:lineRule="auto"/>
              <w:rPr>
                <w:rFonts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10</w:t>
            </w:r>
          </w:p>
        </w:tc>
        <w:tc>
          <w:tcPr>
            <w:tcW w:w="5823" w:type="dxa"/>
            <w:tcBorders>
              <w:top w:val="single" w:color="auto" w:sz="4" w:space="0"/>
            </w:tcBorders>
            <w:vAlign w:val="center"/>
          </w:tcPr>
          <w:p w14:paraId="60FA3832">
            <w:pPr>
              <w:adjustRightInd w:val="0"/>
              <w:snapToGrid w:val="0"/>
              <w:spacing w:line="360" w:lineRule="auto"/>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供应商提供的生产制作方案（包括但不限于：生产制作流程图、生产进度计划、质量控制及保障措施等）进行综合评审，方案能体现供应商较强的综合实力、生产制作流程图完整清晰且生产进度计划、质量控制及保障措施科学合理的计</w:t>
            </w:r>
            <w:r>
              <w:rPr>
                <w:rFonts w:hint="eastAsia" w:asciiTheme="minorEastAsia" w:hAnsiTheme="minorEastAsia" w:eastAsiaTheme="minorEastAsia"/>
                <w:color w:val="000000"/>
                <w:sz w:val="21"/>
                <w:szCs w:val="21"/>
                <w:lang w:val="en-US" w:eastAsia="zh-CN"/>
              </w:rPr>
              <w:t>10</w:t>
            </w:r>
            <w:r>
              <w:rPr>
                <w:rFonts w:hint="eastAsia" w:asciiTheme="minorEastAsia" w:hAnsiTheme="minorEastAsia" w:eastAsiaTheme="minorEastAsia"/>
                <w:color w:val="000000"/>
                <w:sz w:val="21"/>
                <w:szCs w:val="21"/>
              </w:rPr>
              <w:t>分；方案中生产制作流程图较完整清晰且生产进度计划、质量控制及保障措施基本合理的计</w:t>
            </w:r>
            <w:r>
              <w:rPr>
                <w:rFonts w:hint="eastAsia" w:asciiTheme="minorEastAsia" w:hAnsiTheme="minorEastAsia" w:eastAsiaTheme="minorEastAsia"/>
                <w:color w:val="000000"/>
                <w:sz w:val="21"/>
                <w:szCs w:val="21"/>
                <w:lang w:val="en-US" w:eastAsia="zh-CN"/>
              </w:rPr>
              <w:t>8</w:t>
            </w:r>
            <w:r>
              <w:rPr>
                <w:rFonts w:hint="eastAsia" w:asciiTheme="minorEastAsia" w:hAnsiTheme="minorEastAsia" w:eastAsiaTheme="minorEastAsia"/>
                <w:color w:val="000000"/>
                <w:sz w:val="21"/>
                <w:szCs w:val="21"/>
              </w:rPr>
              <w:t>分；方案</w:t>
            </w:r>
            <w:r>
              <w:rPr>
                <w:rFonts w:hint="eastAsia" w:asciiTheme="minorEastAsia" w:hAnsiTheme="minorEastAsia" w:eastAsiaTheme="minorEastAsia"/>
                <w:color w:val="000000"/>
                <w:sz w:val="21"/>
                <w:szCs w:val="21"/>
                <w:lang w:val="en-US" w:eastAsia="zh-CN"/>
              </w:rPr>
              <w:t>中</w:t>
            </w:r>
            <w:r>
              <w:rPr>
                <w:rFonts w:hint="eastAsia" w:asciiTheme="minorEastAsia" w:hAnsiTheme="minorEastAsia" w:eastAsiaTheme="minorEastAsia"/>
                <w:color w:val="000000"/>
                <w:sz w:val="21"/>
                <w:szCs w:val="21"/>
              </w:rPr>
              <w:t>具有生产制作流程图且生产进度计划、质量控制及保障措施的计</w:t>
            </w:r>
            <w:r>
              <w:rPr>
                <w:rFonts w:hint="eastAsia" w:asciiTheme="minorEastAsia" w:hAnsiTheme="minorEastAsia" w:eastAsiaTheme="minorEastAsia"/>
                <w:color w:val="000000"/>
                <w:sz w:val="21"/>
                <w:szCs w:val="21"/>
                <w:lang w:val="en-US" w:eastAsia="zh-CN"/>
              </w:rPr>
              <w:t>5</w:t>
            </w:r>
            <w:r>
              <w:rPr>
                <w:rFonts w:hint="eastAsia" w:asciiTheme="minorEastAsia" w:hAnsiTheme="minorEastAsia" w:eastAsiaTheme="minorEastAsia"/>
                <w:color w:val="000000"/>
                <w:sz w:val="21"/>
                <w:szCs w:val="21"/>
              </w:rPr>
              <w:t>分；不提供则不计分。</w:t>
            </w:r>
          </w:p>
        </w:tc>
      </w:tr>
      <w:tr w14:paraId="219130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4" w:hRule="atLeast"/>
        </w:trPr>
        <w:tc>
          <w:tcPr>
            <w:tcW w:w="1250" w:type="dxa"/>
            <w:vMerge w:val="continue"/>
            <w:vAlign w:val="center"/>
          </w:tcPr>
          <w:p w14:paraId="224A2EA5">
            <w:pPr>
              <w:adjustRightInd w:val="0"/>
              <w:snapToGrid w:val="0"/>
              <w:spacing w:line="360" w:lineRule="auto"/>
              <w:rPr>
                <w:rFonts w:cs="宋体" w:asciiTheme="minorEastAsia" w:hAnsiTheme="minorEastAsia" w:eastAsiaTheme="minorEastAsia"/>
                <w:color w:val="000000"/>
                <w:sz w:val="21"/>
                <w:szCs w:val="21"/>
              </w:rPr>
            </w:pPr>
          </w:p>
        </w:tc>
        <w:tc>
          <w:tcPr>
            <w:tcW w:w="1245" w:type="dxa"/>
            <w:vAlign w:val="center"/>
          </w:tcPr>
          <w:p w14:paraId="4B92E732">
            <w:pPr>
              <w:adjustRightInd w:val="0"/>
              <w:snapToGrid w:val="0"/>
              <w:spacing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val="en-US" w:eastAsia="zh-CN"/>
              </w:rPr>
              <w:t>质量保证措施</w:t>
            </w:r>
          </w:p>
        </w:tc>
        <w:tc>
          <w:tcPr>
            <w:tcW w:w="896" w:type="dxa"/>
            <w:vAlign w:val="center"/>
          </w:tcPr>
          <w:p w14:paraId="2F349350">
            <w:pPr>
              <w:adjustRightInd w:val="0"/>
              <w:snapToGrid w:val="0"/>
              <w:spacing w:line="360" w:lineRule="auto"/>
              <w:rPr>
                <w:rFonts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10</w:t>
            </w:r>
          </w:p>
        </w:tc>
        <w:tc>
          <w:tcPr>
            <w:tcW w:w="5823" w:type="dxa"/>
            <w:vAlign w:val="center"/>
          </w:tcPr>
          <w:p w14:paraId="6E598223">
            <w:pPr>
              <w:adjustRightInd w:val="0"/>
              <w:snapToGrid w:val="0"/>
              <w:spacing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val="en-US" w:eastAsia="zh-CN"/>
              </w:rPr>
              <w:t>供应商提供的质量保证措施阐述详细，且科学、合理、可行性高的得10分，阐述较为详细、科学性、合理性、可行性良好的得8分，阐述不清、科学性合理性可行性一般的得5分。</w:t>
            </w:r>
            <w:r>
              <w:rPr>
                <w:rFonts w:hint="eastAsia" w:cs="宋体" w:asciiTheme="minorEastAsia" w:hAnsiTheme="minorEastAsia" w:eastAsiaTheme="minorEastAsia"/>
                <w:color w:val="000000"/>
                <w:sz w:val="21"/>
                <w:szCs w:val="21"/>
                <w:lang w:eastAsia="zh-CN"/>
              </w:rPr>
              <w:t>未提供不计分。</w:t>
            </w:r>
          </w:p>
        </w:tc>
      </w:tr>
      <w:tr w14:paraId="7956C3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250" w:type="dxa"/>
            <w:vMerge w:val="continue"/>
            <w:vAlign w:val="center"/>
          </w:tcPr>
          <w:p w14:paraId="38338C47">
            <w:pPr>
              <w:adjustRightInd w:val="0"/>
              <w:snapToGrid w:val="0"/>
              <w:spacing w:line="360" w:lineRule="auto"/>
              <w:rPr>
                <w:rFonts w:cs="宋体" w:asciiTheme="minorEastAsia" w:hAnsiTheme="minorEastAsia" w:eastAsiaTheme="minorEastAsia"/>
                <w:color w:val="000000"/>
                <w:sz w:val="21"/>
                <w:szCs w:val="21"/>
              </w:rPr>
            </w:pPr>
          </w:p>
        </w:tc>
        <w:tc>
          <w:tcPr>
            <w:tcW w:w="1245" w:type="dxa"/>
            <w:vAlign w:val="center"/>
          </w:tcPr>
          <w:p w14:paraId="6627E067">
            <w:pPr>
              <w:adjustRightInd w:val="0"/>
              <w:snapToGrid w:val="0"/>
              <w:spacing w:line="360" w:lineRule="auto"/>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产品技术性能</w:t>
            </w:r>
          </w:p>
        </w:tc>
        <w:tc>
          <w:tcPr>
            <w:tcW w:w="896" w:type="dxa"/>
            <w:vAlign w:val="center"/>
          </w:tcPr>
          <w:p w14:paraId="14644631">
            <w:pPr>
              <w:adjustRightInd w:val="0"/>
              <w:snapToGrid w:val="0"/>
              <w:spacing w:line="360" w:lineRule="auto"/>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10</w:t>
            </w:r>
          </w:p>
        </w:tc>
        <w:tc>
          <w:tcPr>
            <w:tcW w:w="5823" w:type="dxa"/>
            <w:vAlign w:val="center"/>
          </w:tcPr>
          <w:p w14:paraId="6B33730E">
            <w:pPr>
              <w:adjustRightInd w:val="0"/>
              <w:snapToGrid w:val="0"/>
              <w:spacing w:line="360" w:lineRule="auto"/>
              <w:rPr>
                <w:rFonts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对供应商提供的样品进行酌情计分，由评委对每家供应商提供样品的色泽、做工（包括拉链、拉头）、缝线、手感（柔韧）、款式、气味及整体效果等进行评审，样品做工精细、款式新颖且具有代表性、品质优的计</w:t>
            </w:r>
            <w:r>
              <w:rPr>
                <w:rFonts w:hint="eastAsia" w:cs="宋体" w:asciiTheme="minorEastAsia" w:hAnsiTheme="minorEastAsia" w:eastAsiaTheme="minorEastAsia"/>
                <w:color w:val="000000"/>
                <w:sz w:val="21"/>
                <w:szCs w:val="21"/>
                <w:lang w:val="en-US" w:eastAsia="zh-CN"/>
              </w:rPr>
              <w:t>10</w:t>
            </w:r>
            <w:r>
              <w:rPr>
                <w:rFonts w:hint="eastAsia" w:cs="宋体" w:asciiTheme="minorEastAsia" w:hAnsiTheme="minorEastAsia" w:eastAsiaTheme="minorEastAsia"/>
                <w:color w:val="000000"/>
                <w:sz w:val="21"/>
                <w:szCs w:val="21"/>
              </w:rPr>
              <w:t>分，样品做工较精细、款式新颖、品质较好的计</w:t>
            </w:r>
            <w:r>
              <w:rPr>
                <w:rFonts w:hint="eastAsia" w:cs="宋体" w:asciiTheme="minorEastAsia" w:hAnsiTheme="minorEastAsia" w:eastAsiaTheme="minorEastAsia"/>
                <w:color w:val="000000"/>
                <w:sz w:val="21"/>
                <w:szCs w:val="21"/>
                <w:lang w:val="en-US" w:eastAsia="zh-CN"/>
              </w:rPr>
              <w:t>8</w:t>
            </w:r>
            <w:r>
              <w:rPr>
                <w:rFonts w:hint="eastAsia" w:cs="宋体" w:asciiTheme="minorEastAsia" w:hAnsiTheme="minorEastAsia" w:eastAsiaTheme="minorEastAsia"/>
                <w:color w:val="000000"/>
                <w:sz w:val="21"/>
                <w:szCs w:val="21"/>
              </w:rPr>
              <w:t xml:space="preserve">分，样品做工一般、款式普通、品质一般的计 </w:t>
            </w:r>
            <w:r>
              <w:rPr>
                <w:rFonts w:hint="eastAsia" w:cs="宋体" w:asciiTheme="minorEastAsia" w:hAnsiTheme="minorEastAsia" w:eastAsiaTheme="minorEastAsia"/>
                <w:color w:val="000000"/>
                <w:sz w:val="21"/>
                <w:szCs w:val="21"/>
                <w:lang w:val="en-US" w:eastAsia="zh-CN"/>
              </w:rPr>
              <w:t>5</w:t>
            </w:r>
            <w:r>
              <w:rPr>
                <w:rFonts w:hint="eastAsia" w:cs="宋体" w:asciiTheme="minorEastAsia" w:hAnsiTheme="minorEastAsia" w:eastAsiaTheme="minorEastAsia"/>
                <w:color w:val="000000"/>
                <w:sz w:val="21"/>
                <w:szCs w:val="21"/>
              </w:rPr>
              <w:t xml:space="preserve"> 分，未提供则不计分。</w:t>
            </w:r>
          </w:p>
        </w:tc>
      </w:tr>
      <w:tr w14:paraId="72027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trPr>
        <w:tc>
          <w:tcPr>
            <w:tcW w:w="1250" w:type="dxa"/>
            <w:vMerge w:val="continue"/>
            <w:vAlign w:val="center"/>
          </w:tcPr>
          <w:p w14:paraId="69467E38">
            <w:pPr>
              <w:adjustRightInd w:val="0"/>
              <w:snapToGrid w:val="0"/>
              <w:spacing w:line="360" w:lineRule="auto"/>
              <w:rPr>
                <w:rFonts w:cs="宋体" w:asciiTheme="minorEastAsia" w:hAnsiTheme="minorEastAsia" w:eastAsiaTheme="minorEastAsia"/>
                <w:color w:val="000000"/>
                <w:sz w:val="21"/>
                <w:szCs w:val="21"/>
              </w:rPr>
            </w:pPr>
          </w:p>
        </w:tc>
        <w:tc>
          <w:tcPr>
            <w:tcW w:w="1245" w:type="dxa"/>
            <w:vAlign w:val="center"/>
          </w:tcPr>
          <w:p w14:paraId="5009FEA7">
            <w:pPr>
              <w:adjustRightInd w:val="0"/>
              <w:snapToGrid w:val="0"/>
              <w:spacing w:line="360" w:lineRule="auto"/>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售后服务</w:t>
            </w:r>
          </w:p>
        </w:tc>
        <w:tc>
          <w:tcPr>
            <w:tcW w:w="896" w:type="dxa"/>
            <w:vAlign w:val="center"/>
          </w:tcPr>
          <w:p w14:paraId="438772CB">
            <w:pPr>
              <w:adjustRightInd w:val="0"/>
              <w:snapToGrid w:val="0"/>
              <w:spacing w:line="360" w:lineRule="auto"/>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10</w:t>
            </w:r>
          </w:p>
        </w:tc>
        <w:tc>
          <w:tcPr>
            <w:tcW w:w="5823" w:type="dxa"/>
            <w:vAlign w:val="center"/>
          </w:tcPr>
          <w:p w14:paraId="179258E5">
            <w:pPr>
              <w:adjustRightInd w:val="0"/>
              <w:snapToGrid w:val="0"/>
              <w:spacing w:line="360" w:lineRule="auto"/>
              <w:rPr>
                <w:rFonts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有完善的售后服务体系和措施，有专人负责售后服务、服务响应时间短、服务计划合理等情况进行评价，评价优秀的，计</w:t>
            </w:r>
            <w:r>
              <w:rPr>
                <w:rFonts w:hint="eastAsia" w:cs="宋体" w:asciiTheme="minorEastAsia" w:hAnsiTheme="minorEastAsia" w:eastAsiaTheme="minorEastAsia"/>
                <w:color w:val="000000"/>
                <w:sz w:val="21"/>
                <w:szCs w:val="21"/>
                <w:lang w:val="en-US" w:eastAsia="zh-CN"/>
              </w:rPr>
              <w:t>10</w:t>
            </w:r>
            <w:r>
              <w:rPr>
                <w:rFonts w:hint="eastAsia" w:cs="宋体" w:asciiTheme="minorEastAsia" w:hAnsiTheme="minorEastAsia" w:eastAsiaTheme="minorEastAsia"/>
                <w:color w:val="000000"/>
                <w:sz w:val="21"/>
                <w:szCs w:val="21"/>
              </w:rPr>
              <w:t>分；评价良好的，计</w:t>
            </w:r>
            <w:r>
              <w:rPr>
                <w:rFonts w:hint="eastAsia" w:cs="宋体" w:asciiTheme="minorEastAsia" w:hAnsiTheme="minorEastAsia" w:eastAsiaTheme="minorEastAsia"/>
                <w:color w:val="000000"/>
                <w:sz w:val="21"/>
                <w:szCs w:val="21"/>
                <w:lang w:val="en-US" w:eastAsia="zh-CN"/>
              </w:rPr>
              <w:t>8</w:t>
            </w:r>
            <w:r>
              <w:rPr>
                <w:rFonts w:hint="eastAsia" w:cs="宋体" w:asciiTheme="minorEastAsia" w:hAnsiTheme="minorEastAsia" w:eastAsiaTheme="minorEastAsia"/>
                <w:color w:val="000000"/>
                <w:sz w:val="21"/>
                <w:szCs w:val="21"/>
              </w:rPr>
              <w:t>分；评价一般的，计</w:t>
            </w:r>
            <w:r>
              <w:rPr>
                <w:rFonts w:hint="eastAsia" w:cs="宋体" w:asciiTheme="minorEastAsia" w:hAnsiTheme="minorEastAsia" w:eastAsiaTheme="minorEastAsia"/>
                <w:color w:val="000000"/>
                <w:sz w:val="21"/>
                <w:szCs w:val="21"/>
                <w:lang w:val="en-US" w:eastAsia="zh-CN"/>
              </w:rPr>
              <w:t>5</w:t>
            </w:r>
            <w:r>
              <w:rPr>
                <w:rFonts w:hint="eastAsia" w:cs="宋体" w:asciiTheme="minorEastAsia" w:hAnsiTheme="minorEastAsia" w:eastAsiaTheme="minorEastAsia"/>
                <w:color w:val="000000"/>
                <w:sz w:val="21"/>
                <w:szCs w:val="21"/>
              </w:rPr>
              <w:t>分；评价较差的</w:t>
            </w:r>
            <w:r>
              <w:rPr>
                <w:rFonts w:hint="eastAsia" w:cs="宋体" w:asciiTheme="minorEastAsia" w:hAnsiTheme="minorEastAsia" w:eastAsiaTheme="minorEastAsia"/>
                <w:color w:val="000000"/>
                <w:sz w:val="21"/>
                <w:szCs w:val="21"/>
                <w:lang w:val="en-US" w:eastAsia="zh-CN"/>
              </w:rPr>
              <w:t>计2</w:t>
            </w:r>
            <w:bookmarkStart w:id="0" w:name="_GoBack"/>
            <w:bookmarkEnd w:id="0"/>
            <w:r>
              <w:rPr>
                <w:rFonts w:hint="eastAsia" w:cs="宋体" w:asciiTheme="minorEastAsia" w:hAnsiTheme="minorEastAsia" w:eastAsiaTheme="minorEastAsia"/>
                <w:color w:val="000000"/>
                <w:sz w:val="21"/>
                <w:szCs w:val="21"/>
              </w:rPr>
              <w:t>分，没有提供不计分。</w:t>
            </w:r>
          </w:p>
        </w:tc>
      </w:tr>
      <w:tr w14:paraId="488AF4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214" w:type="dxa"/>
            <w:gridSpan w:val="4"/>
            <w:vAlign w:val="center"/>
          </w:tcPr>
          <w:p w14:paraId="55212729">
            <w:pPr>
              <w:tabs>
                <w:tab w:val="left" w:pos="0"/>
              </w:tabs>
              <w:adjustRightInd w:val="0"/>
              <w:snapToGrid w:val="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评分满分为100分</w:t>
            </w:r>
          </w:p>
        </w:tc>
      </w:tr>
    </w:tbl>
    <w:p w14:paraId="7C680D42">
      <w:pPr>
        <w:rPr>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wNjU5OTU3NmJjMWVmZDM2NjJhNmVhZDBiYjA1NzEifQ=="/>
  </w:docVars>
  <w:rsids>
    <w:rsidRoot w:val="1D1B5624"/>
    <w:rsid w:val="001820F2"/>
    <w:rsid w:val="00790038"/>
    <w:rsid w:val="1D1B5624"/>
    <w:rsid w:val="4BF14FD1"/>
    <w:rsid w:val="7E28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ru-RU" w:eastAsia="ru-RU"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784</Words>
  <Characters>797</Characters>
  <Lines>8</Lines>
  <Paragraphs>2</Paragraphs>
  <TotalTime>10</TotalTime>
  <ScaleCrop>false</ScaleCrop>
  <LinksUpToDate>false</LinksUpToDate>
  <CharactersWithSpaces>799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2024-07-29T05:52:00Z</dcterms:created>
  <dc:creator>serena</dc:creator>
  <cp:lastModifiedBy>^_^妙</cp:lastModifiedBy>
  <cp:lastPrinted>2024-08-04T07:53:00Z</cp:lastPrinted>
  <dcterms:modified xsi:type="dcterms:W3CDTF">2025-06-20T00:57:53Z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21C6B419A1A5450EBA2351B65635A84E_11</vt:lpwstr>
  </property>
  <property fmtid="{D5CDD505-2E9C-101B-9397-08002B2CF9AE}" pid="4" name="KSOTemplateDocerSaveRecord">
    <vt:lpwstr>eyJoZGlkIjoiNmYzYmEzYmQwMDZjOGNlN2I1NGEzMzMzNGRjMDM3YWMiLCJ1c2VySWQiOiIyMjc0MzY0NDUifQ==</vt:lpwstr>
  </property>
</Properties>
</file>